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D8" w:rsidP="00E873D8" w:rsidRDefault="00E873D8">
      <w:pPr>
        <w:pStyle w:val="Heading1"/>
        <w:spacing w:before="0" w:after="0" w:line="240" w:lineRule="auto"/>
      </w:pPr>
      <w:r w:rsidRPr="006A7B7B">
        <w:t>SECTION 2: THE SERVICE CONTEXT</w:t>
      </w:r>
    </w:p>
    <w:p w:rsidR="00E873D8" w:rsidP="00E873D8" w:rsidRDefault="00E873D8">
      <w:pPr>
        <w:spacing w:before="0" w:after="0" w:line="240" w:lineRule="auto"/>
      </w:pPr>
    </w:p>
    <w:p w:rsidR="00E873D8" w:rsidP="00E873D8" w:rsidRDefault="00E873D8">
      <w:pPr>
        <w:spacing w:before="0" w:after="0" w:line="240" w:lineRule="auto"/>
        <w:sectPr w:rsidR="00E873D8" w:rsidSect="00E873D8">
          <w:footerReference w:type="default" r:id="rId7"/>
          <w:pgSz w:w="16838" w:h="11906" w:orient="landscape" w:code="9"/>
          <w:pgMar w:top="-142" w:right="964" w:bottom="1077" w:left="964" w:header="397" w:footer="57" w:gutter="0"/>
          <w:cols w:space="708"/>
          <w:docGrid w:linePitch="360"/>
        </w:sectPr>
      </w:pPr>
    </w:p>
    <w:p w:rsidR="00E873D8" w:rsidP="00E873D8" w:rsidRDefault="00E873D8">
      <w:pPr>
        <w:spacing w:before="0" w:after="0" w:line="240" w:lineRule="auto"/>
      </w:pPr>
      <w:r>
        <w:t xml:space="preserve">This section describes the team, its services and how it delivers its services to its stakeholders within its regulatory and policy framework. </w:t>
      </w:r>
    </w:p>
    <w:p w:rsidR="00E873D8" w:rsidP="00E873D8" w:rsidRDefault="00E873D8">
      <w:pPr>
        <w:spacing w:before="0" w:after="0" w:line="240" w:lineRule="auto"/>
      </w:pPr>
      <w:r>
        <w:t xml:space="preserve"> </w:t>
      </w:r>
    </w:p>
    <w:p w:rsidR="00E873D8" w:rsidP="00E873D8" w:rsidRDefault="001507C1">
      <w:pPr>
        <w:pStyle w:val="Heading2"/>
        <w:spacing w:after="0"/>
      </w:pPr>
      <w:r>
        <w:t>COMMERCIAL (</w:t>
      </w:r>
      <w:r w:rsidR="00A90ED1">
        <w:t>Health and Safety)</w:t>
      </w:r>
      <w:r>
        <w:t xml:space="preserve"> </w:t>
      </w:r>
      <w:r w:rsidR="00CE5F33">
        <w:t>SERVICE</w:t>
      </w:r>
    </w:p>
    <w:p w:rsidR="00E873D8" w:rsidP="00E873D8" w:rsidRDefault="00E873D8">
      <w:pPr>
        <w:spacing w:before="0" w:after="0" w:line="240" w:lineRule="auto"/>
      </w:pPr>
    </w:p>
    <w:p w:rsidRPr="007D0816" w:rsidR="00CE5F33" w:rsidP="00CE5F33" w:rsidRDefault="00CE5F33">
      <w:pPr>
        <w:spacing w:before="0" w:after="0" w:line="240" w:lineRule="auto"/>
        <w:jc w:val="both"/>
        <w:rPr>
          <w:szCs w:val="20"/>
        </w:rPr>
      </w:pPr>
      <w:r w:rsidRPr="007D0816">
        <w:rPr>
          <w:szCs w:val="20"/>
        </w:rPr>
        <w:t>Th</w:t>
      </w:r>
      <w:r w:rsidRPr="007D0816" w:rsidR="007D0816">
        <w:rPr>
          <w:szCs w:val="20"/>
        </w:rPr>
        <w:t>is service plan is dedicated to the health and safety enforcement functions carried out by commercial team staff authorised under the provisions of the Health and Safety at Work etc. Act 1974.</w:t>
      </w:r>
    </w:p>
    <w:p w:rsidRPr="007D0816" w:rsidR="00CE5F33" w:rsidP="00E873D8" w:rsidRDefault="00CE5F33">
      <w:pPr>
        <w:spacing w:before="0" w:after="0" w:line="240" w:lineRule="auto"/>
        <w:rPr>
          <w:szCs w:val="20"/>
        </w:rPr>
      </w:pPr>
    </w:p>
    <w:p w:rsidR="00E873D8" w:rsidP="00E873D8" w:rsidRDefault="001435F1">
      <w:pPr>
        <w:pStyle w:val="Heading2"/>
        <w:spacing w:after="0"/>
      </w:pPr>
      <w:r>
        <w:t xml:space="preserve">Health and Safety </w:t>
      </w:r>
      <w:r w:rsidR="006F0508">
        <w:t>Service Plan</w:t>
      </w:r>
    </w:p>
    <w:p w:rsidRPr="00455839" w:rsidR="00E873D8" w:rsidP="00E873D8" w:rsidRDefault="00E873D8">
      <w:pPr>
        <w:spacing w:before="0" w:after="0" w:line="240" w:lineRule="auto"/>
      </w:pPr>
    </w:p>
    <w:p w:rsidRPr="004C2B3D" w:rsidR="004C2B3D" w:rsidP="004C2B3D" w:rsidRDefault="001435F1">
      <w:pPr>
        <w:spacing w:before="0" w:after="0" w:line="240" w:lineRule="auto"/>
      </w:pPr>
      <w:r>
        <w:t>There is a mandatory requirement under section 18 of the Health and Safety at Work etc. Act 1974 to produce a</w:t>
      </w:r>
      <w:r w:rsidR="008856C4">
        <w:t>n annual</w:t>
      </w:r>
      <w:r>
        <w:t xml:space="preserve"> health and safety service plan which is agreed by our elected members</w:t>
      </w:r>
      <w:r w:rsidR="008856C4">
        <w:t xml:space="preserve"> to ensure local transparency and accountability</w:t>
      </w:r>
      <w:r w:rsidRPr="004C2B3D" w:rsidR="004C2B3D">
        <w:t xml:space="preserve">.  </w:t>
      </w:r>
      <w:r w:rsidR="008856C4">
        <w:t>The service plan takes into account local needs as well as national priorities in its strategy.</w:t>
      </w:r>
      <w:r w:rsidR="00B8765D">
        <w:t xml:space="preserve"> On approval, the </w:t>
      </w:r>
      <w:r w:rsidR="007D0816">
        <w:t>service</w:t>
      </w:r>
      <w:r w:rsidR="00B8765D">
        <w:t xml:space="preserve"> plan will be published in the public domain, including availability on the Council’s website.</w:t>
      </w:r>
    </w:p>
    <w:p w:rsidR="004C2B3D" w:rsidP="004C2B3D" w:rsidRDefault="004C2B3D">
      <w:pPr>
        <w:spacing w:before="0" w:after="0" w:line="240" w:lineRule="auto"/>
      </w:pPr>
    </w:p>
    <w:p w:rsidRPr="004C2B3D" w:rsidR="006F0508" w:rsidP="004C2B3D" w:rsidRDefault="006F0508">
      <w:pPr>
        <w:spacing w:before="0" w:after="0" w:line="240" w:lineRule="auto"/>
      </w:pPr>
      <w:r>
        <w:t xml:space="preserve">Significant elements of the Hertsmere vision and the corporate plan are supported by this service, as summarised in Section 3 below.  </w:t>
      </w:r>
    </w:p>
    <w:p w:rsidR="00E873D8" w:rsidP="00E873D8" w:rsidRDefault="00E873D8">
      <w:pPr>
        <w:spacing w:before="0" w:after="0" w:line="240" w:lineRule="auto"/>
      </w:pPr>
    </w:p>
    <w:p w:rsidR="00E873D8" w:rsidP="00E873D8" w:rsidRDefault="00E873D8">
      <w:pPr>
        <w:pStyle w:val="Heading2"/>
        <w:spacing w:after="0"/>
      </w:pPr>
      <w:bookmarkStart w:name="_Toc210457193" w:id="0"/>
      <w:bookmarkStart w:name="_Toc224377902" w:id="1"/>
      <w:bookmarkStart w:name="_Toc255241348" w:id="2"/>
      <w:r>
        <w:t xml:space="preserve">How the Service </w:t>
      </w:r>
      <w:bookmarkEnd w:id="0"/>
      <w:bookmarkEnd w:id="1"/>
      <w:bookmarkEnd w:id="2"/>
      <w:r>
        <w:t>Operates</w:t>
      </w:r>
    </w:p>
    <w:p w:rsidR="008856C4" w:rsidP="00E873D8" w:rsidRDefault="008856C4">
      <w:pPr>
        <w:spacing w:before="0" w:after="0" w:line="240" w:lineRule="auto"/>
      </w:pPr>
      <w:bookmarkStart w:name="_Toc210457194" w:id="3"/>
    </w:p>
    <w:p w:rsidR="000C5F1B" w:rsidP="008856C4" w:rsidRDefault="00E873D8">
      <w:pPr>
        <w:spacing w:before="0" w:after="0" w:line="240" w:lineRule="auto"/>
      </w:pPr>
      <w:r>
        <w:t xml:space="preserve">The </w:t>
      </w:r>
      <w:r w:rsidR="008856C4">
        <w:t>Health and Safety service is</w:t>
      </w:r>
      <w:r w:rsidR="00ED5E75">
        <w:t xml:space="preserve"> responsible for the delivery of interventions which includes </w:t>
      </w:r>
      <w:r w:rsidR="008856C4">
        <w:t>reactive and proactive work</w:t>
      </w:r>
      <w:bookmarkStart w:name="_Toc224377911" w:id="4"/>
      <w:bookmarkStart w:name="_Toc255241358" w:id="5"/>
      <w:bookmarkEnd w:id="3"/>
      <w:r w:rsidR="008856C4">
        <w:t>.</w:t>
      </w:r>
      <w:bookmarkEnd w:id="4"/>
      <w:bookmarkEnd w:id="5"/>
      <w:r w:rsidR="00F44783">
        <w:t xml:space="preserve"> This includes undertaking planned inspections and enforcement initiatives, investigations of </w:t>
      </w:r>
      <w:r w:rsidR="007D0816">
        <w:t>complaints and revisits to check compliance, and follow up enforcement where appropriate.</w:t>
      </w:r>
    </w:p>
    <w:p w:rsidR="008856C4" w:rsidP="000C5F1B" w:rsidRDefault="008856C4">
      <w:pPr>
        <w:pStyle w:val="Heading2"/>
        <w:jc w:val="left"/>
      </w:pPr>
      <w:bookmarkStart w:name="_Toc224377912" w:id="6"/>
      <w:bookmarkStart w:name="_Toc255241359" w:id="7"/>
    </w:p>
    <w:p w:rsidR="000C5F1B" w:rsidP="000C5F1B" w:rsidRDefault="000C5F1B">
      <w:pPr>
        <w:pStyle w:val="Heading2"/>
        <w:jc w:val="left"/>
      </w:pPr>
      <w:r>
        <w:t>Service Aim</w:t>
      </w:r>
      <w:bookmarkEnd w:id="6"/>
      <w:bookmarkEnd w:id="7"/>
      <w:r>
        <w:t xml:space="preserve"> – Commercial (</w:t>
      </w:r>
      <w:r w:rsidR="00B8765D">
        <w:t>Health and Safety)</w:t>
      </w:r>
    </w:p>
    <w:p w:rsidR="00B8765D" w:rsidP="000C5F1B" w:rsidRDefault="00B8765D">
      <w:r>
        <w:t>‘To work with others to protect people’s health and safety by ensuring risks in the changing workplace are managed properly.’</w:t>
      </w:r>
    </w:p>
    <w:p w:rsidR="00F44783" w:rsidP="000C5F1B" w:rsidRDefault="00B8765D">
      <w:r>
        <w:t>Our key priorities are:-</w:t>
      </w:r>
    </w:p>
    <w:p w:rsidR="00B8765D" w:rsidP="000C5F1B" w:rsidRDefault="00F44783">
      <w:r>
        <w:t>To manage the risk in high risk, poor performing and/or rogue trader businesses.</w:t>
      </w:r>
      <w:r w:rsidR="00B8765D">
        <w:t xml:space="preserve"> </w:t>
      </w:r>
    </w:p>
    <w:p w:rsidR="00B8765D" w:rsidP="000C5F1B" w:rsidRDefault="00B8765D">
      <w:r>
        <w:t>Investigating workplace related major injury incidents and fatalities.</w:t>
      </w:r>
    </w:p>
    <w:p w:rsidR="00B8765D" w:rsidP="000C5F1B" w:rsidRDefault="00B8765D">
      <w:r>
        <w:t xml:space="preserve">Investigate and resolve all </w:t>
      </w:r>
      <w:r w:rsidR="00C0610F">
        <w:t>serious</w:t>
      </w:r>
      <w:r>
        <w:t xml:space="preserve"> health and safety complaints</w:t>
      </w:r>
    </w:p>
    <w:p w:rsidR="00B8765D" w:rsidP="000C5F1B" w:rsidRDefault="00B8765D">
      <w:r>
        <w:t xml:space="preserve">Provide </w:t>
      </w:r>
      <w:r w:rsidR="00C0610F">
        <w:t>advice</w:t>
      </w:r>
      <w:r>
        <w:t xml:space="preserve"> and assistance to businesses, </w:t>
      </w:r>
      <w:r w:rsidR="00C0610F">
        <w:t>employees</w:t>
      </w:r>
      <w:r>
        <w:t>, employer</w:t>
      </w:r>
      <w:r w:rsidR="00C0610F">
        <w:t>s and customers on work related issues</w:t>
      </w:r>
    </w:p>
    <w:p w:rsidR="00C0610F" w:rsidP="000C5F1B" w:rsidRDefault="00C0610F">
      <w:r>
        <w:t>Receive and act as appropriate on all notifications of work with asbestos, and engineers’ reports of defective lifting equipment, and pressurised vessels.</w:t>
      </w:r>
    </w:p>
    <w:p w:rsidR="00B8765D" w:rsidP="000C5F1B" w:rsidRDefault="00B8765D"/>
    <w:p w:rsidR="000C5F1B" w:rsidP="000C5F1B" w:rsidRDefault="000C5F1B">
      <w:pPr>
        <w:pStyle w:val="Heading3"/>
      </w:pPr>
      <w:r>
        <w:t>Core Business</w:t>
      </w:r>
    </w:p>
    <w:p w:rsidR="000C5F1B" w:rsidP="000C5F1B" w:rsidRDefault="000C5F1B">
      <w:r>
        <w:t>This Service Plan covers the work undertaken by the following areas of service delivery.</w:t>
      </w:r>
    </w:p>
    <w:p w:rsidRPr="00F12768" w:rsidR="00E873D8" w:rsidP="00E873D8" w:rsidRDefault="00E873D8">
      <w:pPr>
        <w:spacing w:before="0" w:after="0" w:line="240" w:lineRule="auto"/>
        <w:sectPr w:rsidRPr="00F12768" w:rsidR="00E873D8" w:rsidSect="006C65A3">
          <w:type w:val="continuous"/>
          <w:pgSz w:w="16838" w:h="11906" w:orient="landscape" w:code="9"/>
          <w:pgMar w:top="1077" w:right="964" w:bottom="720" w:left="964" w:header="397" w:footer="57" w:gutter="0"/>
          <w:cols w:equalWidth="0" w:space="708">
            <w:col w:w="14910" w:space="708"/>
          </w:cols>
          <w:docGrid w:linePitch="360"/>
        </w:sectPr>
      </w:pPr>
      <w:r>
        <w:br w:type="page"/>
      </w:r>
    </w:p>
    <w:p w:rsidRPr="00144F0A" w:rsidR="00E873D8" w:rsidP="00E873D8" w:rsidRDefault="00E873D8">
      <w:pPr>
        <w:pStyle w:val="Heading2"/>
      </w:pPr>
      <w:bookmarkStart w:name="_Toc224377917" w:id="8"/>
      <w:bookmarkStart w:name="_Toc255241365" w:id="9"/>
      <w:r>
        <w:lastRenderedPageBreak/>
        <w:t>SECTION 3: ACTIONS FOR 202</w:t>
      </w:r>
      <w:r w:rsidR="00F92466">
        <w:t>3/24</w:t>
      </w:r>
    </w:p>
    <w:tbl>
      <w:tblPr>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85"/>
        <w:gridCol w:w="29"/>
        <w:gridCol w:w="1389"/>
        <w:gridCol w:w="4677"/>
        <w:gridCol w:w="2268"/>
        <w:gridCol w:w="1276"/>
        <w:gridCol w:w="2436"/>
      </w:tblGrid>
      <w:tr w:rsidR="00E873D8" w:rsidTr="0095137B">
        <w:trPr>
          <w:cantSplit/>
          <w:tblHeader/>
        </w:trPr>
        <w:tc>
          <w:tcPr>
            <w:tcW w:w="3085" w:type="dxa"/>
            <w:tcBorders>
              <w:top w:val="single" w:color="auto" w:sz="4" w:space="0"/>
              <w:left w:val="single" w:color="auto" w:sz="4" w:space="0"/>
              <w:bottom w:val="single" w:color="auto" w:sz="4" w:space="0"/>
              <w:right w:val="single" w:color="auto" w:sz="4" w:space="0"/>
            </w:tcBorders>
            <w:shd w:val="clear" w:color="auto" w:fill="C0C0C0"/>
            <w:vAlign w:val="center"/>
          </w:tcPr>
          <w:bookmarkEnd w:id="8"/>
          <w:bookmarkEnd w:id="9"/>
          <w:p w:rsidR="00E873D8" w:rsidP="0095137B" w:rsidRDefault="00E873D8">
            <w:pPr>
              <w:jc w:val="center"/>
              <w:rPr>
                <w:b/>
                <w:sz w:val="16"/>
              </w:rPr>
            </w:pPr>
            <w:r>
              <w:rPr>
                <w:b/>
                <w:sz w:val="16"/>
              </w:rPr>
              <w:t>ACTIONS</w:t>
            </w:r>
          </w:p>
          <w:p w:rsidR="00E873D8" w:rsidP="0095137B" w:rsidRDefault="00E873D8">
            <w:pPr>
              <w:jc w:val="center"/>
              <w:rPr>
                <w:rFonts w:ascii="Arial Bold" w:hAnsi="Arial Bold"/>
                <w:b/>
                <w:vanish/>
                <w:sz w:val="16"/>
              </w:rPr>
            </w:pPr>
            <w:r>
              <w:rPr>
                <w:b/>
                <w:sz w:val="16"/>
              </w:rPr>
              <w:t>(How are we going to achieve it?)</w:t>
            </w:r>
          </w:p>
        </w:tc>
        <w:tc>
          <w:tcPr>
            <w:tcW w:w="141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E873D8" w:rsidP="0095137B" w:rsidRDefault="00E873D8">
            <w:pPr>
              <w:jc w:val="center"/>
              <w:rPr>
                <w:rFonts w:ascii="Arial Bold" w:hAnsi="Arial Bold"/>
                <w:b/>
                <w:vanish/>
                <w:sz w:val="16"/>
              </w:rPr>
            </w:pPr>
            <w:r>
              <w:rPr>
                <w:b/>
                <w:sz w:val="16"/>
              </w:rPr>
              <w:t>RESOURCE ALLOCATION</w:t>
            </w:r>
          </w:p>
        </w:tc>
        <w:tc>
          <w:tcPr>
            <w:tcW w:w="4677" w:type="dxa"/>
            <w:tcBorders>
              <w:top w:val="single" w:color="auto" w:sz="4" w:space="0"/>
              <w:left w:val="single" w:color="auto" w:sz="4" w:space="0"/>
              <w:bottom w:val="single" w:color="auto" w:sz="4" w:space="0"/>
              <w:right w:val="single" w:color="auto" w:sz="4" w:space="0"/>
            </w:tcBorders>
            <w:shd w:val="clear" w:color="auto" w:fill="C0C0C0"/>
            <w:vAlign w:val="center"/>
          </w:tcPr>
          <w:p w:rsidR="00E873D8" w:rsidP="0095137B" w:rsidRDefault="00E873D8">
            <w:pPr>
              <w:jc w:val="center"/>
              <w:rPr>
                <w:rFonts w:ascii="Arial Bold" w:hAnsi="Arial Bold"/>
                <w:b/>
                <w:vanish/>
                <w:sz w:val="16"/>
              </w:rPr>
            </w:pPr>
            <w:r>
              <w:rPr>
                <w:b/>
                <w:sz w:val="16"/>
              </w:rPr>
              <w:t>SUCCESS CRITERIA (including Performance Measures)</w:t>
            </w:r>
          </w:p>
        </w:tc>
        <w:tc>
          <w:tcPr>
            <w:tcW w:w="2268" w:type="dxa"/>
            <w:tcBorders>
              <w:top w:val="single" w:color="auto" w:sz="4" w:space="0"/>
              <w:left w:val="single" w:color="auto" w:sz="4" w:space="0"/>
              <w:bottom w:val="single" w:color="auto" w:sz="4" w:space="0"/>
              <w:right w:val="single" w:color="auto" w:sz="4" w:space="0"/>
            </w:tcBorders>
            <w:shd w:val="clear" w:color="auto" w:fill="C0C0C0"/>
            <w:vAlign w:val="center"/>
          </w:tcPr>
          <w:p w:rsidR="00E873D8" w:rsidP="0095137B" w:rsidRDefault="00E873D8">
            <w:pPr>
              <w:jc w:val="center"/>
              <w:rPr>
                <w:b/>
                <w:sz w:val="16"/>
              </w:rPr>
            </w:pPr>
            <w:r>
              <w:rPr>
                <w:b/>
                <w:sz w:val="16"/>
              </w:rPr>
              <w:t>TIMESCALE</w:t>
            </w:r>
          </w:p>
        </w:tc>
        <w:tc>
          <w:tcPr>
            <w:tcW w:w="1276" w:type="dxa"/>
            <w:tcBorders>
              <w:top w:val="single" w:color="auto" w:sz="4" w:space="0"/>
              <w:left w:val="single" w:color="auto" w:sz="4" w:space="0"/>
              <w:bottom w:val="single" w:color="auto" w:sz="4" w:space="0"/>
              <w:right w:val="single" w:color="auto" w:sz="4" w:space="0"/>
            </w:tcBorders>
            <w:shd w:val="clear" w:color="auto" w:fill="C0C0C0"/>
            <w:vAlign w:val="center"/>
          </w:tcPr>
          <w:p w:rsidR="00E873D8" w:rsidP="0095137B" w:rsidRDefault="00E873D8">
            <w:pPr>
              <w:jc w:val="center"/>
              <w:rPr>
                <w:b/>
                <w:sz w:val="16"/>
              </w:rPr>
            </w:pPr>
            <w:r>
              <w:rPr>
                <w:b/>
                <w:sz w:val="16"/>
              </w:rPr>
              <w:t xml:space="preserve">OFFICER(S) </w:t>
            </w:r>
            <w:r>
              <w:rPr>
                <w:b/>
                <w:sz w:val="16"/>
              </w:rPr>
              <w:br/>
              <w:t>RESPONSIBLE</w:t>
            </w:r>
          </w:p>
        </w:tc>
        <w:tc>
          <w:tcPr>
            <w:tcW w:w="2436" w:type="dxa"/>
            <w:tcBorders>
              <w:top w:val="single" w:color="auto" w:sz="4" w:space="0"/>
              <w:left w:val="single" w:color="auto" w:sz="4" w:space="0"/>
              <w:bottom w:val="single" w:color="auto" w:sz="4" w:space="0"/>
              <w:right w:val="single" w:color="auto" w:sz="4" w:space="0"/>
            </w:tcBorders>
            <w:shd w:val="clear" w:color="auto" w:fill="C0C0C0"/>
          </w:tcPr>
          <w:p w:rsidR="00E873D8" w:rsidP="0095137B" w:rsidRDefault="00E873D8">
            <w:pPr>
              <w:jc w:val="center"/>
              <w:rPr>
                <w:b/>
                <w:sz w:val="16"/>
              </w:rPr>
            </w:pPr>
            <w:r>
              <w:rPr>
                <w:b/>
                <w:sz w:val="16"/>
              </w:rPr>
              <w:t>POSITION STATEMENT SUPPORTED</w:t>
            </w:r>
          </w:p>
        </w:tc>
      </w:tr>
      <w:tr w:rsidR="00E873D8" w:rsidTr="0095137B">
        <w:trPr>
          <w:cantSplit/>
        </w:trPr>
        <w:tc>
          <w:tcPr>
            <w:tcW w:w="151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2B5D92" w:rsidR="00E873D8" w:rsidP="007B43AF" w:rsidRDefault="00A7001E">
            <w:pPr>
              <w:rPr>
                <w:rFonts w:cs="Arial"/>
                <w:b/>
                <w:szCs w:val="20"/>
              </w:rPr>
            </w:pPr>
            <w:r>
              <w:rPr>
                <w:rFonts w:cs="Arial"/>
                <w:b/>
                <w:szCs w:val="20"/>
              </w:rPr>
              <w:t>Commercial Team (</w:t>
            </w:r>
            <w:r w:rsidR="007B43AF">
              <w:rPr>
                <w:rFonts w:cs="Arial"/>
                <w:b/>
                <w:szCs w:val="20"/>
              </w:rPr>
              <w:t>Health and Safety</w:t>
            </w:r>
            <w:r>
              <w:rPr>
                <w:rFonts w:cs="Arial"/>
                <w:b/>
                <w:szCs w:val="20"/>
              </w:rPr>
              <w:t>)</w:t>
            </w:r>
          </w:p>
        </w:tc>
      </w:tr>
      <w:tr w:rsidRPr="00AA54F2" w:rsidR="00E873D8"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Pr="002B5D92" w:rsidR="00A7001E" w:rsidP="00A96FE1" w:rsidRDefault="003E0A50">
            <w:pPr>
              <w:spacing w:before="0" w:after="0" w:line="240" w:lineRule="auto"/>
              <w:ind w:left="284"/>
              <w:rPr>
                <w:rFonts w:cs="Arial"/>
                <w:szCs w:val="20"/>
              </w:rPr>
            </w:pPr>
            <w:r>
              <w:rPr>
                <w:rFonts w:cs="Arial"/>
                <w:szCs w:val="20"/>
              </w:rPr>
              <w:t>Investigate and resolve complaints and respond to request for advice</w:t>
            </w:r>
            <w:r w:rsidR="00B84A00">
              <w:rPr>
                <w:rFonts w:cs="Arial"/>
                <w:szCs w:val="20"/>
              </w:rPr>
              <w:t xml:space="preserve"> about workplace health and safety.</w:t>
            </w:r>
          </w:p>
        </w:tc>
        <w:tc>
          <w:tcPr>
            <w:tcW w:w="1389" w:type="dxa"/>
            <w:tcBorders>
              <w:top w:val="single" w:color="auto" w:sz="4" w:space="0"/>
              <w:left w:val="single" w:color="auto" w:sz="4" w:space="0"/>
              <w:bottom w:val="single" w:color="auto" w:sz="4" w:space="0"/>
              <w:right w:val="single" w:color="auto" w:sz="4" w:space="0"/>
            </w:tcBorders>
          </w:tcPr>
          <w:p w:rsidR="00D26B19" w:rsidP="00A7001E" w:rsidRDefault="00E873D8">
            <w:pPr>
              <w:rPr>
                <w:rFonts w:cs="Arial"/>
                <w:szCs w:val="20"/>
              </w:rPr>
            </w:pPr>
            <w:r w:rsidRPr="002B5D92">
              <w:rPr>
                <w:rFonts w:cs="Arial"/>
                <w:szCs w:val="20"/>
              </w:rPr>
              <w:t>Within existing officer resources</w:t>
            </w:r>
            <w:r w:rsidR="00A7001E">
              <w:rPr>
                <w:rFonts w:cs="Arial"/>
                <w:szCs w:val="20"/>
              </w:rPr>
              <w:t xml:space="preserve"> and acquired agency staff</w:t>
            </w:r>
            <w:r w:rsidR="00D26B19">
              <w:rPr>
                <w:rFonts w:cs="Arial"/>
                <w:szCs w:val="20"/>
              </w:rPr>
              <w:t>.</w:t>
            </w:r>
          </w:p>
          <w:p w:rsidR="00D26B19" w:rsidP="00A7001E" w:rsidRDefault="00D26B19">
            <w:pPr>
              <w:rPr>
                <w:rFonts w:cs="Arial"/>
                <w:szCs w:val="20"/>
              </w:rPr>
            </w:pPr>
          </w:p>
          <w:p w:rsidRPr="002B5D92" w:rsidR="00E873D8" w:rsidP="00A7001E" w:rsidRDefault="00E873D8">
            <w:pPr>
              <w:rPr>
                <w:rFonts w:cs="Arial"/>
                <w:szCs w:val="20"/>
              </w:rPr>
            </w:pPr>
          </w:p>
        </w:tc>
        <w:tc>
          <w:tcPr>
            <w:tcW w:w="4677" w:type="dxa"/>
            <w:tcBorders>
              <w:top w:val="single" w:color="auto" w:sz="4" w:space="0"/>
              <w:left w:val="single" w:color="auto" w:sz="4" w:space="0"/>
              <w:bottom w:val="single" w:color="auto" w:sz="4" w:space="0"/>
              <w:right w:val="single" w:color="auto" w:sz="4" w:space="0"/>
            </w:tcBorders>
          </w:tcPr>
          <w:p w:rsidR="00E873D8" w:rsidP="00A972BE" w:rsidRDefault="00B84A00">
            <w:pPr>
              <w:rPr>
                <w:rFonts w:cs="Arial"/>
                <w:szCs w:val="20"/>
              </w:rPr>
            </w:pPr>
            <w:r>
              <w:rPr>
                <w:rFonts w:cs="Arial"/>
                <w:szCs w:val="20"/>
              </w:rPr>
              <w:t>Improved business compliance  and health and safety awareness</w:t>
            </w:r>
          </w:p>
          <w:p w:rsidR="00B84A00" w:rsidP="00A972BE" w:rsidRDefault="00B84A00">
            <w:pPr>
              <w:rPr>
                <w:rFonts w:cs="Arial"/>
                <w:szCs w:val="20"/>
              </w:rPr>
            </w:pPr>
            <w:r>
              <w:rPr>
                <w:rFonts w:cs="Arial"/>
                <w:szCs w:val="20"/>
              </w:rPr>
              <w:t>Promotion of sensible risk management.</w:t>
            </w:r>
          </w:p>
          <w:p w:rsidRPr="002B5D92" w:rsidR="00B84A00" w:rsidP="00A972BE" w:rsidRDefault="00B84A00">
            <w:pPr>
              <w:rPr>
                <w:rFonts w:cs="Arial"/>
                <w:szCs w:val="20"/>
              </w:rPr>
            </w:pPr>
            <w:r>
              <w:rPr>
                <w:rFonts w:cs="Arial"/>
                <w:szCs w:val="20"/>
              </w:rPr>
              <w:t>All requests for service and complaints are responded to and investigated to a proper conclusion.</w:t>
            </w:r>
          </w:p>
        </w:tc>
        <w:tc>
          <w:tcPr>
            <w:tcW w:w="2268" w:type="dxa"/>
            <w:tcBorders>
              <w:top w:val="single" w:color="auto" w:sz="4" w:space="0"/>
              <w:left w:val="single" w:color="auto" w:sz="4" w:space="0"/>
              <w:bottom w:val="single" w:color="auto" w:sz="4" w:space="0"/>
              <w:right w:val="single" w:color="auto" w:sz="4" w:space="0"/>
            </w:tcBorders>
          </w:tcPr>
          <w:p w:rsidRPr="002B5D92" w:rsidR="00905802" w:rsidP="008D44D4" w:rsidRDefault="00B84A00">
            <w:pPr>
              <w:rPr>
                <w:rFonts w:cs="Arial"/>
                <w:szCs w:val="20"/>
              </w:rPr>
            </w:pPr>
            <w:r>
              <w:rPr>
                <w:rFonts w:cs="Arial"/>
                <w:szCs w:val="20"/>
              </w:rPr>
              <w:t>Initial assessment once request received, manager to allocate and monitor</w:t>
            </w:r>
            <w:r w:rsidR="008D44D4">
              <w:rPr>
                <w:rFonts w:cs="Arial"/>
                <w:szCs w:val="20"/>
              </w:rPr>
              <w:t xml:space="preserve">, </w:t>
            </w:r>
            <w:r w:rsidR="00995A87">
              <w:rPr>
                <w:rFonts w:cs="Arial"/>
                <w:szCs w:val="20"/>
              </w:rPr>
              <w:t xml:space="preserve">initial </w:t>
            </w:r>
            <w:r w:rsidR="008D44D4">
              <w:rPr>
                <w:rFonts w:cs="Arial"/>
                <w:szCs w:val="20"/>
              </w:rPr>
              <w:t>response within</w:t>
            </w:r>
            <w:r>
              <w:rPr>
                <w:rFonts w:cs="Arial"/>
                <w:szCs w:val="20"/>
              </w:rPr>
              <w:t xml:space="preserve"> 3 days</w:t>
            </w:r>
            <w:r w:rsidR="008D44D4">
              <w:rPr>
                <w:rFonts w:cs="Arial"/>
                <w:szCs w:val="20"/>
              </w:rPr>
              <w:t xml:space="preserve"> of receipt</w:t>
            </w:r>
            <w:r w:rsidR="006D6D1B">
              <w:rPr>
                <w:rFonts w:cs="Arial"/>
                <w:szCs w:val="20"/>
              </w:rPr>
              <w:t>.</w:t>
            </w:r>
          </w:p>
        </w:tc>
        <w:tc>
          <w:tcPr>
            <w:tcW w:w="1276" w:type="dxa"/>
            <w:tcBorders>
              <w:top w:val="single" w:color="auto" w:sz="4" w:space="0"/>
              <w:left w:val="single" w:color="auto" w:sz="4" w:space="0"/>
              <w:bottom w:val="single" w:color="auto" w:sz="4" w:space="0"/>
              <w:right w:val="single" w:color="auto" w:sz="4" w:space="0"/>
            </w:tcBorders>
          </w:tcPr>
          <w:p w:rsidRPr="002B5D92" w:rsidR="00E873D8" w:rsidP="0095137B" w:rsidRDefault="009822ED">
            <w:pPr>
              <w:rPr>
                <w:rFonts w:cs="Arial"/>
                <w:szCs w:val="20"/>
              </w:rPr>
            </w:pPr>
            <w:r>
              <w:rPr>
                <w:rFonts w:cs="Arial"/>
                <w:szCs w:val="20"/>
              </w:rPr>
              <w:t>PEHO H&amp;S</w:t>
            </w:r>
          </w:p>
        </w:tc>
        <w:tc>
          <w:tcPr>
            <w:tcW w:w="2436" w:type="dxa"/>
            <w:tcBorders>
              <w:top w:val="single" w:color="auto" w:sz="4" w:space="0"/>
              <w:left w:val="single" w:color="auto" w:sz="4" w:space="0"/>
              <w:bottom w:val="single" w:color="auto" w:sz="4" w:space="0"/>
              <w:right w:val="single" w:color="auto" w:sz="4" w:space="0"/>
            </w:tcBorders>
          </w:tcPr>
          <w:p w:rsidR="00294E69" w:rsidP="0095137B" w:rsidRDefault="00E873D8">
            <w:pPr>
              <w:rPr>
                <w:rFonts w:cs="Arial"/>
                <w:szCs w:val="20"/>
              </w:rPr>
            </w:pPr>
            <w:r w:rsidRPr="009762F4">
              <w:rPr>
                <w:rFonts w:cs="Arial"/>
                <w:szCs w:val="20"/>
              </w:rPr>
              <w:t xml:space="preserve">3.3 Support big and small business </w:t>
            </w:r>
          </w:p>
          <w:p w:rsidR="00E873D8" w:rsidP="0095137B" w:rsidRDefault="00E873D8">
            <w:pPr>
              <w:rPr>
                <w:rFonts w:cs="Arial"/>
                <w:szCs w:val="20"/>
              </w:rPr>
            </w:pPr>
            <w:r w:rsidRPr="009762F4">
              <w:rPr>
                <w:rFonts w:cs="Arial"/>
                <w:szCs w:val="20"/>
              </w:rPr>
              <w:t>5.2 Keep residents safe</w:t>
            </w:r>
          </w:p>
          <w:p w:rsidR="006D6D1B" w:rsidP="0095137B" w:rsidRDefault="006D6D1B">
            <w:pPr>
              <w:rPr>
                <w:rFonts w:cs="Arial"/>
                <w:szCs w:val="20"/>
              </w:rPr>
            </w:pPr>
            <w:r w:rsidRPr="006D6D1B">
              <w:rPr>
                <w:rFonts w:cs="Arial"/>
                <w:szCs w:val="20"/>
              </w:rPr>
              <w:t>6.4 Communicate regularly and honestly</w:t>
            </w:r>
          </w:p>
          <w:p w:rsidRPr="002B5D92" w:rsidR="00294E69" w:rsidP="0095137B" w:rsidRDefault="00294E69">
            <w:pPr>
              <w:rPr>
                <w:rFonts w:cs="Arial"/>
                <w:szCs w:val="20"/>
              </w:rPr>
            </w:pPr>
          </w:p>
        </w:tc>
      </w:tr>
      <w:tr w:rsidRPr="00AA54F2" w:rsidR="00E873D8"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Pr="002B5D92" w:rsidR="00E873D8" w:rsidP="00A96FE1" w:rsidRDefault="006D6D1B">
            <w:pPr>
              <w:spacing w:before="0" w:after="0" w:line="240" w:lineRule="auto"/>
              <w:ind w:left="284"/>
              <w:rPr>
                <w:rFonts w:cs="Arial"/>
                <w:szCs w:val="20"/>
              </w:rPr>
            </w:pPr>
            <w:r>
              <w:rPr>
                <w:rFonts w:cs="Arial"/>
                <w:szCs w:val="20"/>
              </w:rPr>
              <w:t>Investigation of notifiable incidents reported</w:t>
            </w:r>
            <w:r w:rsidR="00267E29">
              <w:rPr>
                <w:rFonts w:cs="Arial"/>
                <w:szCs w:val="20"/>
              </w:rPr>
              <w:t xml:space="preserve"> </w:t>
            </w:r>
            <w:r>
              <w:rPr>
                <w:rFonts w:cs="Arial"/>
                <w:szCs w:val="20"/>
              </w:rPr>
              <w:t>of work related fatalities, injuries, diseases and dangerou</w:t>
            </w:r>
            <w:r w:rsidR="00995A87">
              <w:rPr>
                <w:rFonts w:cs="Arial"/>
                <w:szCs w:val="20"/>
              </w:rPr>
              <w:t>s occurrences.</w:t>
            </w:r>
          </w:p>
        </w:tc>
        <w:tc>
          <w:tcPr>
            <w:tcW w:w="1389" w:type="dxa"/>
            <w:tcBorders>
              <w:top w:val="single" w:color="auto" w:sz="4" w:space="0"/>
              <w:left w:val="single" w:color="auto" w:sz="4" w:space="0"/>
              <w:bottom w:val="single" w:color="auto" w:sz="4" w:space="0"/>
              <w:right w:val="single" w:color="auto" w:sz="4" w:space="0"/>
            </w:tcBorders>
          </w:tcPr>
          <w:p w:rsidRPr="002B5D92" w:rsidR="00E873D8" w:rsidP="0095137B" w:rsidRDefault="00E873D8">
            <w:pPr>
              <w:rPr>
                <w:rFonts w:cs="Arial"/>
                <w:szCs w:val="20"/>
              </w:rPr>
            </w:pPr>
            <w:r w:rsidRPr="002B5D92">
              <w:rPr>
                <w:rFonts w:cs="Arial"/>
                <w:szCs w:val="20"/>
              </w:rPr>
              <w:t xml:space="preserve">Within existing officer resources </w:t>
            </w:r>
          </w:p>
        </w:tc>
        <w:tc>
          <w:tcPr>
            <w:tcW w:w="4677" w:type="dxa"/>
            <w:tcBorders>
              <w:top w:val="single" w:color="auto" w:sz="4" w:space="0"/>
              <w:left w:val="single" w:color="auto" w:sz="4" w:space="0"/>
              <w:bottom w:val="single" w:color="auto" w:sz="4" w:space="0"/>
              <w:right w:val="single" w:color="auto" w:sz="4" w:space="0"/>
            </w:tcBorders>
          </w:tcPr>
          <w:p w:rsidR="00C06E74" w:rsidP="00DC5C97" w:rsidRDefault="00267E29">
            <w:pPr>
              <w:ind w:left="320"/>
              <w:rPr>
                <w:rFonts w:cs="Arial"/>
                <w:szCs w:val="20"/>
              </w:rPr>
            </w:pPr>
            <w:r>
              <w:rPr>
                <w:rFonts w:cs="Arial"/>
                <w:szCs w:val="20"/>
              </w:rPr>
              <w:t xml:space="preserve">All notifiable incidents reviewed and selection criteria applied to determine </w:t>
            </w:r>
            <w:r w:rsidR="00DC5C97">
              <w:rPr>
                <w:rFonts w:cs="Arial"/>
                <w:szCs w:val="20"/>
              </w:rPr>
              <w:t>type and level of</w:t>
            </w:r>
            <w:r>
              <w:rPr>
                <w:rFonts w:cs="Arial"/>
                <w:szCs w:val="20"/>
              </w:rPr>
              <w:t xml:space="preserve"> follow up intervention </w:t>
            </w:r>
            <w:r w:rsidR="00DC5C97">
              <w:rPr>
                <w:rFonts w:cs="Arial"/>
                <w:szCs w:val="20"/>
              </w:rPr>
              <w:t xml:space="preserve">deemed appropriate. Priority to </w:t>
            </w:r>
            <w:r>
              <w:rPr>
                <w:rFonts w:cs="Arial"/>
                <w:szCs w:val="20"/>
              </w:rPr>
              <w:t>high</w:t>
            </w:r>
            <w:r w:rsidR="00DC5C97">
              <w:rPr>
                <w:rFonts w:cs="Arial"/>
                <w:szCs w:val="20"/>
              </w:rPr>
              <w:t>er</w:t>
            </w:r>
            <w:r>
              <w:rPr>
                <w:rFonts w:cs="Arial"/>
                <w:szCs w:val="20"/>
              </w:rPr>
              <w:t xml:space="preserve"> risk and serious incidences.</w:t>
            </w:r>
          </w:p>
          <w:p w:rsidR="00DC5C97" w:rsidP="00DC5C97" w:rsidRDefault="00DC5C97">
            <w:pPr>
              <w:ind w:left="320"/>
              <w:rPr>
                <w:rFonts w:cs="Arial"/>
                <w:szCs w:val="20"/>
              </w:rPr>
            </w:pPr>
            <w:r>
              <w:rPr>
                <w:rFonts w:cs="Arial"/>
                <w:szCs w:val="20"/>
              </w:rPr>
              <w:t>Minimise risk of further incidences occurring.</w:t>
            </w:r>
          </w:p>
          <w:p w:rsidR="00DC5C97" w:rsidP="00DC5C97" w:rsidRDefault="00DC5C97">
            <w:pPr>
              <w:rPr>
                <w:rFonts w:cs="Arial"/>
                <w:szCs w:val="20"/>
              </w:rPr>
            </w:pPr>
          </w:p>
          <w:p w:rsidRPr="002B5D92" w:rsidR="00DC5C97" w:rsidP="00DC5C97" w:rsidRDefault="00DC5C97">
            <w:pPr>
              <w:rPr>
                <w:rFonts w:cs="Arial"/>
                <w:szCs w:val="20"/>
              </w:rPr>
            </w:pPr>
          </w:p>
        </w:tc>
        <w:tc>
          <w:tcPr>
            <w:tcW w:w="2268" w:type="dxa"/>
            <w:tcBorders>
              <w:top w:val="single" w:color="auto" w:sz="4" w:space="0"/>
              <w:left w:val="single" w:color="auto" w:sz="4" w:space="0"/>
              <w:bottom w:val="single" w:color="auto" w:sz="4" w:space="0"/>
              <w:right w:val="single" w:color="auto" w:sz="4" w:space="0"/>
            </w:tcBorders>
          </w:tcPr>
          <w:p w:rsidRPr="002B5D92" w:rsidR="00E873D8" w:rsidP="006D6D1B" w:rsidRDefault="00C06E74">
            <w:pPr>
              <w:rPr>
                <w:rFonts w:cs="Arial"/>
                <w:szCs w:val="20"/>
              </w:rPr>
            </w:pPr>
            <w:r>
              <w:rPr>
                <w:rFonts w:cs="Arial"/>
                <w:szCs w:val="20"/>
              </w:rPr>
              <w:t xml:space="preserve">Initial assessment as soon as </w:t>
            </w:r>
            <w:r w:rsidR="006D6D1B">
              <w:rPr>
                <w:rFonts w:cs="Arial"/>
                <w:szCs w:val="20"/>
              </w:rPr>
              <w:t>notification received.</w:t>
            </w:r>
            <w:r w:rsidR="00267E29">
              <w:rPr>
                <w:rFonts w:cs="Arial"/>
                <w:szCs w:val="20"/>
              </w:rPr>
              <w:t xml:space="preserve"> Fatalities, dangerous occurrences and major incidences to be action as soon as possible, other </w:t>
            </w:r>
            <w:r w:rsidR="00DC5C97">
              <w:rPr>
                <w:rFonts w:cs="Arial"/>
                <w:szCs w:val="20"/>
              </w:rPr>
              <w:t>i</w:t>
            </w:r>
            <w:r w:rsidR="00995A87">
              <w:rPr>
                <w:rFonts w:cs="Arial"/>
                <w:szCs w:val="20"/>
              </w:rPr>
              <w:t xml:space="preserve">ncidents requiring intervention make initial response </w:t>
            </w:r>
            <w:r w:rsidR="00DC5C97">
              <w:rPr>
                <w:rFonts w:cs="Arial"/>
                <w:szCs w:val="20"/>
              </w:rPr>
              <w:t>within 3 days of receipt.</w:t>
            </w:r>
          </w:p>
        </w:tc>
        <w:tc>
          <w:tcPr>
            <w:tcW w:w="1276" w:type="dxa"/>
            <w:tcBorders>
              <w:top w:val="single" w:color="auto" w:sz="4" w:space="0"/>
              <w:left w:val="single" w:color="auto" w:sz="4" w:space="0"/>
              <w:bottom w:val="single" w:color="auto" w:sz="4" w:space="0"/>
              <w:right w:val="single" w:color="auto" w:sz="4" w:space="0"/>
            </w:tcBorders>
          </w:tcPr>
          <w:p w:rsidR="00E873D8" w:rsidP="0095137B" w:rsidRDefault="009822ED">
            <w:pPr>
              <w:rPr>
                <w:rFonts w:cs="Arial"/>
                <w:szCs w:val="20"/>
              </w:rPr>
            </w:pPr>
            <w:r>
              <w:rPr>
                <w:rFonts w:cs="Arial"/>
                <w:szCs w:val="20"/>
              </w:rPr>
              <w:t>PEHO H&amp;S</w:t>
            </w:r>
          </w:p>
          <w:p w:rsidRPr="002B5D92" w:rsidR="006D6D1B" w:rsidP="0095137B" w:rsidRDefault="006D6D1B">
            <w:pPr>
              <w:rPr>
                <w:rFonts w:cs="Arial"/>
                <w:szCs w:val="20"/>
              </w:rPr>
            </w:pPr>
          </w:p>
        </w:tc>
        <w:tc>
          <w:tcPr>
            <w:tcW w:w="2436" w:type="dxa"/>
            <w:tcBorders>
              <w:top w:val="single" w:color="auto" w:sz="4" w:space="0"/>
              <w:left w:val="single" w:color="auto" w:sz="4" w:space="0"/>
              <w:bottom w:val="single" w:color="auto" w:sz="4" w:space="0"/>
              <w:right w:val="single" w:color="auto" w:sz="4" w:space="0"/>
            </w:tcBorders>
          </w:tcPr>
          <w:p w:rsidR="00E873D8" w:rsidP="0095137B" w:rsidRDefault="00E873D8">
            <w:pPr>
              <w:rPr>
                <w:rFonts w:cs="Arial"/>
                <w:szCs w:val="20"/>
              </w:rPr>
            </w:pPr>
            <w:r w:rsidRPr="00294E69">
              <w:rPr>
                <w:rFonts w:cs="Arial"/>
                <w:szCs w:val="20"/>
              </w:rPr>
              <w:t>5.2 Keep residents safe</w:t>
            </w:r>
          </w:p>
          <w:p w:rsidR="00C42A88" w:rsidP="0095137B" w:rsidRDefault="00C42A88">
            <w:pPr>
              <w:rPr>
                <w:rFonts w:cs="Arial"/>
                <w:szCs w:val="20"/>
              </w:rPr>
            </w:pPr>
            <w:r>
              <w:rPr>
                <w:rFonts w:cs="Arial"/>
                <w:szCs w:val="20"/>
              </w:rPr>
              <w:t>6.3 Act with integrity</w:t>
            </w:r>
          </w:p>
          <w:p w:rsidRPr="00294E69" w:rsidR="00995A87" w:rsidP="0095137B" w:rsidRDefault="00995A87">
            <w:pPr>
              <w:rPr>
                <w:rFonts w:cs="Arial"/>
                <w:szCs w:val="20"/>
              </w:rPr>
            </w:pPr>
            <w:r>
              <w:rPr>
                <w:rFonts w:cs="Arial"/>
                <w:szCs w:val="20"/>
              </w:rPr>
              <w:t>3.3 Support big and small businesses</w:t>
            </w:r>
          </w:p>
        </w:tc>
      </w:tr>
      <w:tr w:rsidRPr="00AA54F2" w:rsidR="009822ED"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Pr="00C06E74" w:rsidR="009822ED" w:rsidP="009822ED" w:rsidRDefault="009822ED">
            <w:pPr>
              <w:spacing w:before="0" w:after="0" w:line="240" w:lineRule="auto"/>
              <w:ind w:left="284"/>
              <w:rPr>
                <w:rFonts w:cs="Arial"/>
                <w:szCs w:val="20"/>
              </w:rPr>
            </w:pPr>
            <w:r>
              <w:t xml:space="preserve">Primary Authority partnership Scheme with Pizza hut (UK) Ltd.  </w:t>
            </w:r>
          </w:p>
        </w:tc>
        <w:tc>
          <w:tcPr>
            <w:tcW w:w="1389"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sidRPr="002B5D92">
              <w:rPr>
                <w:rFonts w:cs="Arial"/>
                <w:szCs w:val="20"/>
              </w:rPr>
              <w:t xml:space="preserve">Within existing officer resources </w:t>
            </w:r>
          </w:p>
        </w:tc>
        <w:tc>
          <w:tcPr>
            <w:tcW w:w="4677" w:type="dxa"/>
            <w:tcBorders>
              <w:top w:val="single" w:color="auto" w:sz="4" w:space="0"/>
              <w:left w:val="single" w:color="auto" w:sz="4" w:space="0"/>
              <w:bottom w:val="single" w:color="auto" w:sz="4" w:space="0"/>
              <w:right w:val="single" w:color="auto" w:sz="4" w:space="0"/>
            </w:tcBorders>
          </w:tcPr>
          <w:p w:rsidR="009822ED" w:rsidP="009822ED" w:rsidRDefault="009822ED">
            <w:pPr>
              <w:ind w:left="320"/>
              <w:rPr>
                <w:rFonts w:cs="Arial"/>
                <w:szCs w:val="20"/>
              </w:rPr>
            </w:pPr>
            <w:r>
              <w:rPr>
                <w:rFonts w:cs="Arial"/>
                <w:szCs w:val="20"/>
              </w:rPr>
              <w:t>Development of assured guidance and inspection plans (as required); co-ordinating enforcement action</w:t>
            </w:r>
          </w:p>
          <w:p w:rsidRPr="006C25CF" w:rsidR="009822ED" w:rsidP="009822ED" w:rsidRDefault="009822ED">
            <w:pPr>
              <w:ind w:left="320"/>
              <w:rPr>
                <w:rFonts w:cs="Arial"/>
                <w:szCs w:val="20"/>
              </w:rPr>
            </w:pPr>
            <w:r>
              <w:rPr>
                <w:rFonts w:cs="Arial"/>
                <w:szCs w:val="20"/>
              </w:rPr>
              <w:t xml:space="preserve">Responding to </w:t>
            </w:r>
            <w:r>
              <w:t>notifications and enquiries from other enforcing authorities.</w:t>
            </w:r>
          </w:p>
          <w:p w:rsidR="009822ED" w:rsidP="009822ED" w:rsidRDefault="009822ED">
            <w:pPr>
              <w:ind w:left="320"/>
              <w:rPr>
                <w:rFonts w:cs="Arial"/>
                <w:szCs w:val="20"/>
              </w:rPr>
            </w:pPr>
            <w:r>
              <w:rPr>
                <w:rFonts w:cs="Arial"/>
                <w:szCs w:val="20"/>
              </w:rPr>
              <w:t>Officer time recorded to enable cost recovery from the business</w:t>
            </w:r>
          </w:p>
          <w:p w:rsidRPr="006C25CF" w:rsidR="009822ED" w:rsidP="009822ED" w:rsidRDefault="009822ED">
            <w:pPr>
              <w:ind w:left="320"/>
              <w:rPr>
                <w:rFonts w:cs="Arial"/>
                <w:szCs w:val="20"/>
              </w:rPr>
            </w:pPr>
          </w:p>
        </w:tc>
        <w:tc>
          <w:tcPr>
            <w:tcW w:w="2268"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Ongoing; as and when advice and guidance is required by the business; and requests for feedback received from other enforcing authorities</w:t>
            </w:r>
          </w:p>
        </w:tc>
        <w:tc>
          <w:tcPr>
            <w:tcW w:w="1276"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PEHO H&amp;S</w:t>
            </w:r>
          </w:p>
          <w:p w:rsidRPr="002B5D92" w:rsidR="009822ED" w:rsidP="009822ED" w:rsidRDefault="009822ED">
            <w:pPr>
              <w:rPr>
                <w:rFonts w:cs="Arial"/>
                <w:szCs w:val="20"/>
              </w:rPr>
            </w:pPr>
          </w:p>
        </w:tc>
        <w:tc>
          <w:tcPr>
            <w:tcW w:w="2436" w:type="dxa"/>
            <w:tcBorders>
              <w:top w:val="single" w:color="auto" w:sz="4" w:space="0"/>
              <w:left w:val="single" w:color="auto" w:sz="4" w:space="0"/>
              <w:bottom w:val="single" w:color="auto" w:sz="4" w:space="0"/>
              <w:right w:val="single" w:color="auto" w:sz="4" w:space="0"/>
            </w:tcBorders>
          </w:tcPr>
          <w:p w:rsidRPr="00294E69" w:rsidR="009822ED" w:rsidP="009822ED" w:rsidRDefault="009822ED">
            <w:pPr>
              <w:rPr>
                <w:rFonts w:cs="Arial"/>
                <w:szCs w:val="20"/>
              </w:rPr>
            </w:pPr>
            <w:r w:rsidRPr="00294E69">
              <w:rPr>
                <w:rFonts w:cs="Arial"/>
                <w:szCs w:val="20"/>
              </w:rPr>
              <w:t xml:space="preserve">3.3 Support big and small business </w:t>
            </w:r>
          </w:p>
          <w:p w:rsidRPr="00294E69" w:rsidR="009822ED" w:rsidP="009822ED" w:rsidRDefault="009822ED">
            <w:pPr>
              <w:rPr>
                <w:rFonts w:cs="Arial"/>
                <w:szCs w:val="20"/>
              </w:rPr>
            </w:pPr>
            <w:r w:rsidRPr="00294E69">
              <w:rPr>
                <w:rFonts w:cs="Arial"/>
                <w:szCs w:val="20"/>
              </w:rPr>
              <w:t>5.2 Keep residents safe</w:t>
            </w:r>
          </w:p>
          <w:p w:rsidRPr="00294E69" w:rsidR="009822ED" w:rsidP="009822ED" w:rsidRDefault="009822ED">
            <w:pPr>
              <w:rPr>
                <w:rFonts w:cs="Arial"/>
                <w:szCs w:val="20"/>
              </w:rPr>
            </w:pPr>
            <w:r w:rsidRPr="00294E69">
              <w:rPr>
                <w:rFonts w:cs="Arial"/>
                <w:szCs w:val="20"/>
              </w:rPr>
              <w:t>6.1 Lead with purpose</w:t>
            </w:r>
          </w:p>
          <w:p w:rsidR="009822ED" w:rsidP="009822ED" w:rsidRDefault="009822ED">
            <w:pPr>
              <w:rPr>
                <w:rFonts w:cs="Arial"/>
                <w:szCs w:val="20"/>
              </w:rPr>
            </w:pPr>
            <w:r w:rsidRPr="00294E69">
              <w:rPr>
                <w:rFonts w:cs="Arial"/>
                <w:szCs w:val="20"/>
              </w:rPr>
              <w:t>6.2 Maintain relationships</w:t>
            </w:r>
          </w:p>
          <w:p w:rsidRPr="00294E69" w:rsidR="009822ED" w:rsidP="009822ED" w:rsidRDefault="009822ED">
            <w:pPr>
              <w:rPr>
                <w:rFonts w:cs="Arial"/>
                <w:szCs w:val="20"/>
              </w:rPr>
            </w:pPr>
            <w:r>
              <w:rPr>
                <w:rFonts w:cs="Arial"/>
                <w:szCs w:val="20"/>
              </w:rPr>
              <w:t>6.4 Communicate regularly and honestly</w:t>
            </w:r>
          </w:p>
        </w:tc>
      </w:tr>
      <w:tr w:rsidRPr="00AA54F2" w:rsidR="009822ED"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Pr="00510B1A" w:rsidR="009822ED" w:rsidP="009822ED" w:rsidRDefault="009822ED">
            <w:pPr>
              <w:spacing w:before="0" w:after="0" w:line="240" w:lineRule="auto"/>
              <w:rPr>
                <w:rFonts w:cs="Arial"/>
                <w:szCs w:val="20"/>
              </w:rPr>
            </w:pPr>
            <w:r>
              <w:rPr>
                <w:rFonts w:cs="Arial"/>
                <w:szCs w:val="20"/>
              </w:rPr>
              <w:t>Investigate adverse inspector reports of defective lifting equipment and pressurised systems.</w:t>
            </w:r>
          </w:p>
        </w:tc>
        <w:tc>
          <w:tcPr>
            <w:tcW w:w="1389"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sidRPr="002B5D92">
              <w:rPr>
                <w:rFonts w:cs="Arial"/>
                <w:szCs w:val="20"/>
              </w:rPr>
              <w:t xml:space="preserve">Within existing officer resources </w:t>
            </w:r>
          </w:p>
        </w:tc>
        <w:tc>
          <w:tcPr>
            <w:tcW w:w="4677"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 xml:space="preserve"> Follow up investigation to ensure defective and dangerous equipment is suspended from use until appropriate work undertaken to make safe before reuse. </w:t>
            </w:r>
          </w:p>
        </w:tc>
        <w:tc>
          <w:tcPr>
            <w:tcW w:w="2268"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Contact duty holders of defective work equipment within 3 days of notification.</w:t>
            </w:r>
          </w:p>
        </w:tc>
        <w:tc>
          <w:tcPr>
            <w:tcW w:w="1276"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PEHO H&amp;S</w:t>
            </w:r>
          </w:p>
          <w:p w:rsidRPr="002B5D92" w:rsidR="009822ED" w:rsidP="009822ED" w:rsidRDefault="009822ED">
            <w:pPr>
              <w:rPr>
                <w:rFonts w:cs="Arial"/>
                <w:szCs w:val="20"/>
              </w:rPr>
            </w:pPr>
          </w:p>
        </w:tc>
        <w:tc>
          <w:tcPr>
            <w:tcW w:w="2436" w:type="dxa"/>
            <w:tcBorders>
              <w:top w:val="single" w:color="auto" w:sz="4" w:space="0"/>
              <w:left w:val="single" w:color="auto" w:sz="4" w:space="0"/>
              <w:bottom w:val="single" w:color="auto" w:sz="4" w:space="0"/>
              <w:right w:val="single" w:color="auto" w:sz="4" w:space="0"/>
            </w:tcBorders>
          </w:tcPr>
          <w:p w:rsidRPr="00033E13" w:rsidR="009822ED" w:rsidP="009822ED" w:rsidRDefault="009822ED">
            <w:pPr>
              <w:rPr>
                <w:rFonts w:cs="Arial"/>
                <w:szCs w:val="20"/>
              </w:rPr>
            </w:pPr>
            <w:r w:rsidRPr="00033E13">
              <w:rPr>
                <w:rFonts w:cs="Arial"/>
                <w:szCs w:val="20"/>
              </w:rPr>
              <w:t xml:space="preserve">3.3 Support big and small business </w:t>
            </w:r>
          </w:p>
          <w:p w:rsidR="009822ED" w:rsidP="009822ED" w:rsidRDefault="009822ED">
            <w:pPr>
              <w:rPr>
                <w:rFonts w:cs="Arial"/>
                <w:szCs w:val="20"/>
              </w:rPr>
            </w:pPr>
            <w:r w:rsidRPr="00033E13">
              <w:rPr>
                <w:rFonts w:cs="Arial"/>
                <w:szCs w:val="20"/>
              </w:rPr>
              <w:t>5.2 Keep residents safe</w:t>
            </w:r>
          </w:p>
          <w:p w:rsidRPr="002B5D92" w:rsidR="009822ED" w:rsidP="009822ED" w:rsidRDefault="009822ED">
            <w:pPr>
              <w:rPr>
                <w:rFonts w:cs="Arial"/>
                <w:szCs w:val="20"/>
              </w:rPr>
            </w:pPr>
            <w:r>
              <w:rPr>
                <w:rFonts w:cs="Arial"/>
                <w:szCs w:val="20"/>
              </w:rPr>
              <w:t>6.4 Communicate regularly and honestly</w:t>
            </w:r>
          </w:p>
        </w:tc>
      </w:tr>
      <w:tr w:rsidRPr="00AA54F2" w:rsidR="009822ED"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Pr="008D44D4" w:rsidR="009822ED" w:rsidP="009822ED" w:rsidRDefault="009822ED">
            <w:pPr>
              <w:tabs>
                <w:tab w:val="left" w:pos="142"/>
              </w:tabs>
              <w:spacing w:before="0" w:after="0" w:line="240" w:lineRule="auto"/>
              <w:rPr>
                <w:rFonts w:cs="Arial"/>
                <w:szCs w:val="20"/>
              </w:rPr>
            </w:pPr>
            <w:r>
              <w:rPr>
                <w:rFonts w:cs="Arial"/>
                <w:szCs w:val="20"/>
              </w:rPr>
              <w:t>Review and follow up on asbestos removal notifications to department.</w:t>
            </w:r>
          </w:p>
        </w:tc>
        <w:tc>
          <w:tcPr>
            <w:tcW w:w="1389"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Within existing officer resources</w:t>
            </w:r>
          </w:p>
        </w:tc>
        <w:tc>
          <w:tcPr>
            <w:tcW w:w="4677" w:type="dxa"/>
            <w:tcBorders>
              <w:top w:val="single" w:color="auto" w:sz="4" w:space="0"/>
              <w:left w:val="single" w:color="auto" w:sz="4" w:space="0"/>
              <w:bottom w:val="single" w:color="auto" w:sz="4" w:space="0"/>
              <w:right w:val="single" w:color="auto" w:sz="4" w:space="0"/>
            </w:tcBorders>
          </w:tcPr>
          <w:p w:rsidR="009822ED" w:rsidP="009822ED" w:rsidRDefault="009822ED">
            <w:pPr>
              <w:ind w:left="320"/>
              <w:rPr>
                <w:rFonts w:cs="Arial"/>
                <w:szCs w:val="20"/>
              </w:rPr>
            </w:pPr>
            <w:r>
              <w:rPr>
                <w:rFonts w:cs="Arial"/>
                <w:szCs w:val="20"/>
              </w:rPr>
              <w:t xml:space="preserve">Method statements and Risk assessments reviewed. </w:t>
            </w:r>
          </w:p>
          <w:p w:rsidRPr="002B5D92" w:rsidR="009822ED" w:rsidP="009822ED" w:rsidRDefault="009822ED">
            <w:pPr>
              <w:ind w:left="320"/>
              <w:rPr>
                <w:rFonts w:cs="Arial"/>
                <w:szCs w:val="20"/>
              </w:rPr>
            </w:pPr>
            <w:r>
              <w:rPr>
                <w:rFonts w:cs="Arial"/>
                <w:szCs w:val="20"/>
              </w:rPr>
              <w:t>Ensure proposed removal work is undertaken in accordance with licence conditions.</w:t>
            </w:r>
          </w:p>
        </w:tc>
        <w:tc>
          <w:tcPr>
            <w:tcW w:w="2268"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Contact duty holders and/or responsible persons for asbestos removal tasks within 14 days of notification.</w:t>
            </w:r>
          </w:p>
        </w:tc>
        <w:tc>
          <w:tcPr>
            <w:tcW w:w="1276"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PEHO H&amp;S</w:t>
            </w:r>
          </w:p>
          <w:p w:rsidRPr="002B5D92" w:rsidR="009822ED" w:rsidP="009822ED" w:rsidRDefault="009822ED">
            <w:pPr>
              <w:rPr>
                <w:rFonts w:cs="Arial"/>
                <w:szCs w:val="20"/>
              </w:rPr>
            </w:pPr>
          </w:p>
        </w:tc>
        <w:tc>
          <w:tcPr>
            <w:tcW w:w="2436"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sidRPr="004947C1">
              <w:rPr>
                <w:rFonts w:cs="Arial"/>
                <w:szCs w:val="20"/>
              </w:rPr>
              <w:t>5.2 Keep residents safe</w:t>
            </w:r>
          </w:p>
          <w:p w:rsidR="009822ED" w:rsidP="009822ED" w:rsidRDefault="009822ED">
            <w:pPr>
              <w:rPr>
                <w:rFonts w:cs="Arial"/>
                <w:szCs w:val="20"/>
              </w:rPr>
            </w:pPr>
            <w:r w:rsidRPr="004947C1">
              <w:rPr>
                <w:rFonts w:cs="Arial"/>
                <w:szCs w:val="20"/>
              </w:rPr>
              <w:t>6.4 Communicate regularly and honestly</w:t>
            </w:r>
          </w:p>
          <w:p w:rsidRPr="002B5D92" w:rsidR="009822ED" w:rsidP="009822ED" w:rsidRDefault="009822ED">
            <w:pPr>
              <w:rPr>
                <w:rFonts w:cs="Arial"/>
                <w:szCs w:val="20"/>
              </w:rPr>
            </w:pPr>
            <w:r>
              <w:rPr>
                <w:rFonts w:cs="Arial"/>
                <w:szCs w:val="20"/>
              </w:rPr>
              <w:t>3.3 Support big and small businesses</w:t>
            </w:r>
          </w:p>
        </w:tc>
      </w:tr>
      <w:tr w:rsidRPr="00AA54F2" w:rsidR="009822ED"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009822ED" w:rsidP="009822ED" w:rsidRDefault="009822ED">
            <w:pPr>
              <w:spacing w:before="0" w:after="0" w:line="240" w:lineRule="auto"/>
              <w:rPr>
                <w:rFonts w:cs="Arial"/>
                <w:szCs w:val="20"/>
              </w:rPr>
            </w:pPr>
          </w:p>
          <w:p w:rsidRPr="002B5D92" w:rsidR="009822ED" w:rsidP="009822ED" w:rsidRDefault="009822ED">
            <w:pPr>
              <w:spacing w:before="0" w:after="0" w:line="240" w:lineRule="auto"/>
              <w:rPr>
                <w:rFonts w:cs="Arial"/>
                <w:szCs w:val="20"/>
              </w:rPr>
            </w:pPr>
            <w:r>
              <w:rPr>
                <w:rFonts w:cs="Arial"/>
                <w:szCs w:val="20"/>
              </w:rPr>
              <w:t>Compilation and submission of annual LAE1 return as requested by the HSE</w:t>
            </w:r>
          </w:p>
        </w:tc>
        <w:tc>
          <w:tcPr>
            <w:tcW w:w="1389"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sidRPr="002B5D92">
              <w:rPr>
                <w:rFonts w:cs="Arial"/>
                <w:szCs w:val="20"/>
              </w:rPr>
              <w:t xml:space="preserve">Within existing officer resources </w:t>
            </w:r>
          </w:p>
        </w:tc>
        <w:tc>
          <w:tcPr>
            <w:tcW w:w="4677" w:type="dxa"/>
            <w:tcBorders>
              <w:top w:val="single" w:color="auto" w:sz="4" w:space="0"/>
              <w:left w:val="single" w:color="auto" w:sz="4" w:space="0"/>
              <w:bottom w:val="single" w:color="auto" w:sz="4" w:space="0"/>
              <w:right w:val="single" w:color="auto" w:sz="4" w:space="0"/>
            </w:tcBorders>
          </w:tcPr>
          <w:p w:rsidRPr="004947C1" w:rsidR="009822ED" w:rsidP="009822ED" w:rsidRDefault="009822ED">
            <w:pPr>
              <w:rPr>
                <w:rFonts w:cs="Arial"/>
                <w:szCs w:val="20"/>
              </w:rPr>
            </w:pPr>
            <w:r>
              <w:rPr>
                <w:rFonts w:cs="Arial"/>
                <w:szCs w:val="20"/>
              </w:rPr>
              <w:t>LAE1 statistical return submitted in timely manner</w:t>
            </w:r>
          </w:p>
          <w:p w:rsidRPr="002B5D92" w:rsidR="009822ED" w:rsidP="009822ED" w:rsidRDefault="009822ED">
            <w:pPr>
              <w:rPr>
                <w:rFonts w:cs="Arial"/>
                <w:szCs w:val="20"/>
              </w:rPr>
            </w:pPr>
          </w:p>
        </w:tc>
        <w:tc>
          <w:tcPr>
            <w:tcW w:w="2268"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Return completed annually by 31</w:t>
            </w:r>
            <w:r w:rsidRPr="00DE7F5B">
              <w:rPr>
                <w:rFonts w:cs="Arial"/>
                <w:szCs w:val="20"/>
                <w:vertAlign w:val="superscript"/>
              </w:rPr>
              <w:t>st</w:t>
            </w:r>
            <w:r>
              <w:rPr>
                <w:rFonts w:cs="Arial"/>
                <w:szCs w:val="20"/>
              </w:rPr>
              <w:t xml:space="preserve"> May deadline.</w:t>
            </w:r>
          </w:p>
        </w:tc>
        <w:tc>
          <w:tcPr>
            <w:tcW w:w="1276"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PEHO H&amp;S</w:t>
            </w:r>
          </w:p>
        </w:tc>
        <w:tc>
          <w:tcPr>
            <w:tcW w:w="2436"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6.4 Communicate regularly and honestly</w:t>
            </w:r>
          </w:p>
        </w:tc>
      </w:tr>
      <w:tr w:rsidRPr="00AA54F2" w:rsidR="009822ED"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Pr="00B44305" w:rsidR="009822ED" w:rsidP="009822ED" w:rsidRDefault="009822ED">
            <w:pPr>
              <w:pStyle w:val="ListParagraph"/>
              <w:spacing w:before="0" w:after="0" w:line="240" w:lineRule="auto"/>
              <w:ind w:left="306"/>
              <w:rPr>
                <w:rFonts w:cs="Arial"/>
                <w:szCs w:val="20"/>
              </w:rPr>
            </w:pPr>
            <w:r>
              <w:rPr>
                <w:rFonts w:cs="Arial"/>
                <w:szCs w:val="20"/>
              </w:rPr>
              <w:t xml:space="preserve">Participation in Safety Advisory Group( SAG) for major public events </w:t>
            </w:r>
          </w:p>
        </w:tc>
        <w:tc>
          <w:tcPr>
            <w:tcW w:w="1389"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sidRPr="002B5D92">
              <w:rPr>
                <w:rFonts w:cs="Arial"/>
                <w:szCs w:val="20"/>
              </w:rPr>
              <w:t xml:space="preserve">Within existing officer resources </w:t>
            </w:r>
          </w:p>
        </w:tc>
        <w:tc>
          <w:tcPr>
            <w:tcW w:w="4677"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Provide safety advice on proposed</w:t>
            </w:r>
          </w:p>
          <w:p w:rsidRPr="002B5D92" w:rsidR="009822ED" w:rsidP="009822ED" w:rsidRDefault="009822ED">
            <w:pPr>
              <w:rPr>
                <w:rFonts w:cs="Arial"/>
                <w:szCs w:val="20"/>
              </w:rPr>
            </w:pPr>
            <w:r>
              <w:rPr>
                <w:rFonts w:cs="Arial"/>
                <w:szCs w:val="20"/>
              </w:rPr>
              <w:t>event safety management plans and undertake visits to ensure safety standards are being followed.</w:t>
            </w:r>
          </w:p>
        </w:tc>
        <w:tc>
          <w:tcPr>
            <w:tcW w:w="2268"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 xml:space="preserve">Applications and events allocated, reviewed and appropriate communications with event managers undertaken within 14 days </w:t>
            </w:r>
          </w:p>
        </w:tc>
        <w:tc>
          <w:tcPr>
            <w:tcW w:w="1276"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PEHO H&amp;S</w:t>
            </w:r>
          </w:p>
        </w:tc>
        <w:tc>
          <w:tcPr>
            <w:tcW w:w="2436"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sidRPr="004947C1">
              <w:rPr>
                <w:rFonts w:cs="Arial"/>
                <w:szCs w:val="20"/>
              </w:rPr>
              <w:t>5.2 Keep residents safe</w:t>
            </w:r>
          </w:p>
          <w:p w:rsidR="009822ED" w:rsidP="009822ED" w:rsidRDefault="009822ED">
            <w:pPr>
              <w:rPr>
                <w:rFonts w:cs="Arial"/>
                <w:szCs w:val="20"/>
              </w:rPr>
            </w:pPr>
            <w:r w:rsidRPr="00BE4284">
              <w:rPr>
                <w:rFonts w:cs="Arial"/>
                <w:szCs w:val="20"/>
              </w:rPr>
              <w:t>6.3 Act with integrity</w:t>
            </w:r>
          </w:p>
          <w:p w:rsidRPr="00BE4284" w:rsidR="009822ED" w:rsidP="009822ED" w:rsidRDefault="009822ED">
            <w:pPr>
              <w:rPr>
                <w:rFonts w:cs="Arial"/>
                <w:szCs w:val="20"/>
              </w:rPr>
            </w:pPr>
            <w:r>
              <w:rPr>
                <w:rFonts w:cs="Arial"/>
                <w:szCs w:val="20"/>
              </w:rPr>
              <w:t>6.2 Maintain relationships.</w:t>
            </w:r>
          </w:p>
          <w:p w:rsidR="009822ED" w:rsidP="009822ED" w:rsidRDefault="009822ED">
            <w:pPr>
              <w:rPr>
                <w:rFonts w:cs="Arial"/>
                <w:szCs w:val="20"/>
              </w:rPr>
            </w:pPr>
            <w:r>
              <w:rPr>
                <w:rFonts w:cs="Arial"/>
                <w:szCs w:val="20"/>
              </w:rPr>
              <w:t>6.4 Communicate regularly and honestly</w:t>
            </w:r>
          </w:p>
          <w:p w:rsidRPr="002B5D92" w:rsidR="009822ED" w:rsidP="009822ED" w:rsidRDefault="009822ED">
            <w:pPr>
              <w:rPr>
                <w:rFonts w:cs="Arial"/>
                <w:szCs w:val="20"/>
              </w:rPr>
            </w:pPr>
          </w:p>
        </w:tc>
      </w:tr>
      <w:tr w:rsidRPr="00AA54F2" w:rsidR="009822ED"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009822ED" w:rsidP="009822ED" w:rsidRDefault="009822ED">
            <w:pPr>
              <w:pStyle w:val="ListParagraph"/>
              <w:spacing w:before="0" w:after="0" w:line="240" w:lineRule="auto"/>
              <w:ind w:left="644"/>
              <w:rPr>
                <w:rFonts w:cs="Arial"/>
                <w:szCs w:val="20"/>
              </w:rPr>
            </w:pPr>
            <w:r>
              <w:rPr>
                <w:rFonts w:cs="Arial"/>
                <w:szCs w:val="20"/>
              </w:rPr>
              <w:t>Advise and consultations on planning and licensing applications for new businesses</w:t>
            </w:r>
          </w:p>
          <w:p w:rsidR="009822ED" w:rsidP="009822ED" w:rsidRDefault="009822ED">
            <w:pPr>
              <w:pStyle w:val="ListParagraph"/>
              <w:spacing w:before="0" w:after="0" w:line="240" w:lineRule="auto"/>
              <w:ind w:left="644"/>
              <w:rPr>
                <w:rFonts w:cs="Arial"/>
                <w:szCs w:val="20"/>
              </w:rPr>
            </w:pPr>
          </w:p>
          <w:p w:rsidR="009822ED" w:rsidP="009822ED" w:rsidRDefault="009822ED">
            <w:pPr>
              <w:pStyle w:val="ListParagraph"/>
              <w:spacing w:before="0" w:after="0" w:line="240" w:lineRule="auto"/>
              <w:ind w:left="644"/>
              <w:rPr>
                <w:rFonts w:cs="Arial"/>
                <w:szCs w:val="20"/>
              </w:rPr>
            </w:pPr>
          </w:p>
          <w:p w:rsidR="009822ED" w:rsidP="009822ED" w:rsidRDefault="009822ED">
            <w:pPr>
              <w:pStyle w:val="ListParagraph"/>
              <w:spacing w:before="0" w:after="0" w:line="240" w:lineRule="auto"/>
              <w:ind w:left="644"/>
              <w:rPr>
                <w:rFonts w:cs="Arial"/>
                <w:szCs w:val="20"/>
              </w:rPr>
            </w:pPr>
          </w:p>
          <w:p w:rsidR="009822ED" w:rsidP="009822ED" w:rsidRDefault="009822ED">
            <w:pPr>
              <w:pStyle w:val="ListParagraph"/>
              <w:spacing w:before="0" w:after="0" w:line="240" w:lineRule="auto"/>
              <w:ind w:left="644"/>
              <w:rPr>
                <w:rFonts w:cs="Arial"/>
                <w:szCs w:val="20"/>
              </w:rPr>
            </w:pPr>
          </w:p>
          <w:p w:rsidR="009822ED" w:rsidP="009822ED" w:rsidRDefault="009822ED">
            <w:pPr>
              <w:pStyle w:val="ListParagraph"/>
              <w:spacing w:before="0" w:after="0" w:line="240" w:lineRule="auto"/>
              <w:ind w:left="644"/>
              <w:rPr>
                <w:rFonts w:cs="Arial"/>
                <w:szCs w:val="20"/>
              </w:rPr>
            </w:pPr>
          </w:p>
          <w:p w:rsidRPr="00AE3436" w:rsidR="009822ED" w:rsidP="009822ED" w:rsidRDefault="009822ED">
            <w:pPr>
              <w:pStyle w:val="ListParagraph"/>
              <w:spacing w:before="0" w:after="0" w:line="240" w:lineRule="auto"/>
              <w:ind w:left="644"/>
              <w:rPr>
                <w:rFonts w:cs="Arial"/>
                <w:szCs w:val="20"/>
              </w:rPr>
            </w:pPr>
          </w:p>
        </w:tc>
        <w:tc>
          <w:tcPr>
            <w:tcW w:w="1389"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Within existing officer resources</w:t>
            </w:r>
          </w:p>
        </w:tc>
        <w:tc>
          <w:tcPr>
            <w:tcW w:w="4677"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Review, Consult and provide advice on relevant safety standards for new applications.</w:t>
            </w:r>
          </w:p>
          <w:p w:rsidRPr="002B5D92" w:rsidR="009822ED" w:rsidP="009822ED" w:rsidRDefault="009822ED">
            <w:pPr>
              <w:rPr>
                <w:rFonts w:cs="Arial"/>
                <w:szCs w:val="20"/>
              </w:rPr>
            </w:pPr>
            <w:r>
              <w:rPr>
                <w:rFonts w:cs="Arial"/>
                <w:szCs w:val="20"/>
              </w:rPr>
              <w:t xml:space="preserve">Safer and compliant businesses  </w:t>
            </w:r>
          </w:p>
        </w:tc>
        <w:tc>
          <w:tcPr>
            <w:tcW w:w="2268"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Relevant ne applications reviewed and issue feedback advice where appropriate.</w:t>
            </w:r>
          </w:p>
        </w:tc>
        <w:tc>
          <w:tcPr>
            <w:tcW w:w="1276"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PEHO H&amp;S</w:t>
            </w:r>
          </w:p>
          <w:p w:rsidRPr="002B5D92" w:rsidR="009822ED" w:rsidP="009822ED" w:rsidRDefault="009822ED">
            <w:pPr>
              <w:rPr>
                <w:rFonts w:cs="Arial"/>
                <w:szCs w:val="20"/>
              </w:rPr>
            </w:pPr>
          </w:p>
        </w:tc>
        <w:tc>
          <w:tcPr>
            <w:tcW w:w="2436" w:type="dxa"/>
            <w:tcBorders>
              <w:top w:val="single" w:color="auto" w:sz="4" w:space="0"/>
              <w:left w:val="single" w:color="auto" w:sz="4" w:space="0"/>
              <w:bottom w:val="single" w:color="auto" w:sz="4" w:space="0"/>
              <w:right w:val="single" w:color="auto" w:sz="4" w:space="0"/>
            </w:tcBorders>
          </w:tcPr>
          <w:p w:rsidRPr="00D422C9" w:rsidR="009822ED" w:rsidP="009822ED" w:rsidRDefault="009822ED">
            <w:pPr>
              <w:rPr>
                <w:rFonts w:cs="Arial"/>
                <w:szCs w:val="20"/>
              </w:rPr>
            </w:pPr>
            <w:r w:rsidRPr="00D422C9">
              <w:rPr>
                <w:rFonts w:cs="Arial"/>
                <w:szCs w:val="20"/>
              </w:rPr>
              <w:t>5.2 Keep residents safe</w:t>
            </w:r>
          </w:p>
          <w:p w:rsidRPr="00D422C9" w:rsidR="009822ED" w:rsidP="009822ED" w:rsidRDefault="009822ED">
            <w:pPr>
              <w:rPr>
                <w:rFonts w:cs="Arial"/>
                <w:szCs w:val="20"/>
              </w:rPr>
            </w:pPr>
            <w:r w:rsidRPr="00D422C9">
              <w:rPr>
                <w:rFonts w:cs="Arial"/>
                <w:szCs w:val="20"/>
              </w:rPr>
              <w:t>6.4 Communicate regularly and honestly</w:t>
            </w:r>
          </w:p>
          <w:p w:rsidRPr="002B5D92" w:rsidR="009822ED" w:rsidP="009822ED" w:rsidRDefault="009822ED">
            <w:pPr>
              <w:rPr>
                <w:rFonts w:cs="Arial"/>
                <w:szCs w:val="20"/>
              </w:rPr>
            </w:pPr>
            <w:r w:rsidRPr="00D422C9">
              <w:rPr>
                <w:rFonts w:cs="Arial"/>
                <w:szCs w:val="20"/>
              </w:rPr>
              <w:t>3.3 Support big and small businesses</w:t>
            </w:r>
          </w:p>
        </w:tc>
      </w:tr>
      <w:tr w:rsidRPr="00AA54F2" w:rsidR="009822ED"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009822ED" w:rsidP="009822ED" w:rsidRDefault="009822ED">
            <w:pPr>
              <w:pStyle w:val="ListParagraph"/>
              <w:spacing w:before="0" w:after="0" w:line="240" w:lineRule="auto"/>
              <w:ind w:left="644"/>
              <w:rPr>
                <w:rFonts w:cs="Arial"/>
                <w:szCs w:val="20"/>
              </w:rPr>
            </w:pPr>
            <w:r>
              <w:rPr>
                <w:rFonts w:cs="Arial"/>
                <w:szCs w:val="20"/>
              </w:rPr>
              <w:t>Undertake proactive  inspection programme and initiatives based on targeted and specific risks identified in National Local Authority Enforcement Code</w:t>
            </w:r>
          </w:p>
        </w:tc>
        <w:tc>
          <w:tcPr>
            <w:tcW w:w="1389"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Within existing officer resources</w:t>
            </w:r>
          </w:p>
        </w:tc>
        <w:tc>
          <w:tcPr>
            <w:tcW w:w="4677"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 xml:space="preserve">Safer places to work and visit </w:t>
            </w:r>
          </w:p>
          <w:p w:rsidR="009822ED" w:rsidP="009822ED" w:rsidRDefault="009822ED">
            <w:pPr>
              <w:rPr>
                <w:rFonts w:cs="Arial"/>
                <w:szCs w:val="20"/>
              </w:rPr>
            </w:pPr>
            <w:r>
              <w:rPr>
                <w:rFonts w:cs="Arial"/>
                <w:szCs w:val="20"/>
              </w:rPr>
              <w:t xml:space="preserve">Targeted interventions based on local knowledge and National guidance. </w:t>
            </w:r>
          </w:p>
        </w:tc>
        <w:tc>
          <w:tcPr>
            <w:tcW w:w="2268"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 xml:space="preserve">Devise and roll out intervention programs on targeted risks and work activities. Ongoing and where resources allow. </w:t>
            </w:r>
          </w:p>
        </w:tc>
        <w:tc>
          <w:tcPr>
            <w:tcW w:w="1276"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PEHO H&amp;S</w:t>
            </w:r>
          </w:p>
        </w:tc>
        <w:tc>
          <w:tcPr>
            <w:tcW w:w="2436" w:type="dxa"/>
            <w:tcBorders>
              <w:top w:val="single" w:color="auto" w:sz="4" w:space="0"/>
              <w:left w:val="single" w:color="auto" w:sz="4" w:space="0"/>
              <w:bottom w:val="single" w:color="auto" w:sz="4" w:space="0"/>
              <w:right w:val="single" w:color="auto" w:sz="4" w:space="0"/>
            </w:tcBorders>
          </w:tcPr>
          <w:p w:rsidRPr="00B1766C" w:rsidR="009822ED" w:rsidP="009822ED" w:rsidRDefault="009822ED">
            <w:pPr>
              <w:rPr>
                <w:rFonts w:cs="Arial"/>
                <w:szCs w:val="20"/>
              </w:rPr>
            </w:pPr>
            <w:r w:rsidRPr="00B1766C">
              <w:rPr>
                <w:rFonts w:cs="Arial"/>
                <w:szCs w:val="20"/>
              </w:rPr>
              <w:t>5.2 Keep residents safe</w:t>
            </w:r>
          </w:p>
          <w:p w:rsidRPr="00B1766C" w:rsidR="009822ED" w:rsidP="009822ED" w:rsidRDefault="009822ED">
            <w:pPr>
              <w:rPr>
                <w:rFonts w:cs="Arial"/>
                <w:szCs w:val="20"/>
              </w:rPr>
            </w:pPr>
            <w:r w:rsidRPr="00B1766C">
              <w:rPr>
                <w:rFonts w:cs="Arial"/>
                <w:szCs w:val="20"/>
              </w:rPr>
              <w:t>6.4 Communicate regularly and honestly</w:t>
            </w:r>
          </w:p>
          <w:p w:rsidRPr="00D422C9" w:rsidR="009822ED" w:rsidP="009822ED" w:rsidRDefault="009822ED">
            <w:pPr>
              <w:rPr>
                <w:rFonts w:cs="Arial"/>
                <w:szCs w:val="20"/>
              </w:rPr>
            </w:pPr>
            <w:r w:rsidRPr="00B1766C">
              <w:rPr>
                <w:rFonts w:cs="Arial"/>
                <w:szCs w:val="20"/>
              </w:rPr>
              <w:t>3.3 Support big and small businesses</w:t>
            </w:r>
          </w:p>
        </w:tc>
      </w:tr>
      <w:tr w:rsidRPr="00AA54F2" w:rsidR="009822ED" w:rsidTr="006D3697">
        <w:tblPrEx>
          <w:tblBorders>
            <w:insideH w:val="none" w:color="auto" w:sz="0" w:space="0"/>
            <w:insideV w:val="none" w:color="auto" w:sz="0" w:space="0"/>
          </w:tblBorders>
        </w:tblPrEx>
        <w:tc>
          <w:tcPr>
            <w:tcW w:w="3114" w:type="dxa"/>
            <w:gridSpan w:val="2"/>
            <w:tcBorders>
              <w:top w:val="single" w:color="auto" w:sz="4" w:space="0"/>
              <w:left w:val="single" w:color="auto" w:sz="4" w:space="0"/>
              <w:bottom w:val="single" w:color="auto" w:sz="4" w:space="0"/>
              <w:right w:val="single" w:color="auto" w:sz="4" w:space="0"/>
            </w:tcBorders>
          </w:tcPr>
          <w:p w:rsidRPr="00501D82" w:rsidR="009822ED" w:rsidP="009822ED" w:rsidRDefault="009822ED">
            <w:pPr>
              <w:pStyle w:val="ListParagraph"/>
              <w:numPr>
                <w:ilvl w:val="0"/>
                <w:numId w:val="9"/>
              </w:numPr>
              <w:spacing w:before="0" w:after="0" w:line="240" w:lineRule="auto"/>
              <w:ind w:left="306" w:hanging="306"/>
              <w:rPr>
                <w:rFonts w:cs="Arial"/>
                <w:szCs w:val="20"/>
              </w:rPr>
            </w:pPr>
            <w:r>
              <w:t>Control and investigation of outbreaks and infectious diseases linked to work related activities such as legionnaires disease, Covid 19, E.coli 0157 and Cryptosporidiosis</w:t>
            </w:r>
          </w:p>
        </w:tc>
        <w:tc>
          <w:tcPr>
            <w:tcW w:w="1389"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 xml:space="preserve">Within </w:t>
            </w:r>
            <w:r w:rsidRPr="002B5D92">
              <w:rPr>
                <w:rFonts w:cs="Arial"/>
                <w:szCs w:val="20"/>
              </w:rPr>
              <w:t>existing officer resources</w:t>
            </w:r>
            <w:r>
              <w:rPr>
                <w:rFonts w:cs="Arial"/>
                <w:szCs w:val="20"/>
              </w:rPr>
              <w:t xml:space="preserve"> and acquired agency staff</w:t>
            </w:r>
          </w:p>
        </w:tc>
        <w:tc>
          <w:tcPr>
            <w:tcW w:w="4677" w:type="dxa"/>
            <w:tcBorders>
              <w:top w:val="single" w:color="auto" w:sz="4" w:space="0"/>
              <w:left w:val="single" w:color="auto" w:sz="4" w:space="0"/>
              <w:bottom w:val="single" w:color="auto" w:sz="4" w:space="0"/>
              <w:right w:val="single" w:color="auto" w:sz="4" w:space="0"/>
            </w:tcBorders>
          </w:tcPr>
          <w:p w:rsidR="009822ED" w:rsidP="009822ED" w:rsidRDefault="009822ED">
            <w:pPr>
              <w:numPr>
                <w:ilvl w:val="0"/>
                <w:numId w:val="1"/>
              </w:numPr>
              <w:ind w:left="320"/>
              <w:rPr>
                <w:rFonts w:cs="Arial"/>
                <w:szCs w:val="20"/>
              </w:rPr>
            </w:pPr>
            <w:r>
              <w:rPr>
                <w:rFonts w:cs="Arial"/>
                <w:szCs w:val="20"/>
              </w:rPr>
              <w:t xml:space="preserve">Investigation of outbreaks and disease; source identified and prevention of further spread of infection </w:t>
            </w:r>
          </w:p>
          <w:p w:rsidR="009822ED" w:rsidP="009822ED" w:rsidRDefault="009822ED">
            <w:pPr>
              <w:numPr>
                <w:ilvl w:val="0"/>
                <w:numId w:val="1"/>
              </w:numPr>
              <w:ind w:left="320"/>
              <w:rPr>
                <w:rFonts w:cs="Arial"/>
                <w:szCs w:val="20"/>
              </w:rPr>
            </w:pPr>
            <w:r>
              <w:rPr>
                <w:rFonts w:cs="Arial"/>
                <w:szCs w:val="20"/>
              </w:rPr>
              <w:t>Improvements in business practices and procedures</w:t>
            </w:r>
          </w:p>
          <w:p w:rsidRPr="002B5D92" w:rsidR="009822ED" w:rsidP="009822ED" w:rsidRDefault="009822ED">
            <w:pPr>
              <w:numPr>
                <w:ilvl w:val="0"/>
                <w:numId w:val="1"/>
              </w:numPr>
              <w:ind w:left="320"/>
              <w:rPr>
                <w:rFonts w:cs="Arial"/>
                <w:szCs w:val="20"/>
              </w:rPr>
            </w:pPr>
            <w:r>
              <w:rPr>
                <w:rFonts w:cs="Arial"/>
                <w:szCs w:val="20"/>
              </w:rPr>
              <w:t>Appropriate enforcement action</w:t>
            </w:r>
          </w:p>
        </w:tc>
        <w:tc>
          <w:tcPr>
            <w:tcW w:w="2268"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As and when incidents occur</w:t>
            </w:r>
            <w:r w:rsidRPr="002B5D92">
              <w:rPr>
                <w:rFonts w:cs="Arial"/>
                <w:szCs w:val="20"/>
              </w:rPr>
              <w:t xml:space="preserve"> </w:t>
            </w:r>
          </w:p>
        </w:tc>
        <w:tc>
          <w:tcPr>
            <w:tcW w:w="1276" w:type="dxa"/>
            <w:tcBorders>
              <w:top w:val="single" w:color="auto" w:sz="4" w:space="0"/>
              <w:left w:val="single" w:color="auto" w:sz="4" w:space="0"/>
              <w:bottom w:val="single" w:color="auto" w:sz="4" w:space="0"/>
              <w:right w:val="single" w:color="auto" w:sz="4" w:space="0"/>
            </w:tcBorders>
          </w:tcPr>
          <w:p w:rsidRPr="002B5D92" w:rsidR="009822ED" w:rsidP="009822ED" w:rsidRDefault="009822ED">
            <w:pPr>
              <w:rPr>
                <w:rFonts w:cs="Arial"/>
                <w:szCs w:val="20"/>
              </w:rPr>
            </w:pPr>
            <w:r>
              <w:rPr>
                <w:rFonts w:cs="Arial"/>
                <w:szCs w:val="20"/>
              </w:rPr>
              <w:t>PEHO H&amp;S</w:t>
            </w:r>
          </w:p>
        </w:tc>
        <w:tc>
          <w:tcPr>
            <w:tcW w:w="2436" w:type="dxa"/>
            <w:tcBorders>
              <w:top w:val="single" w:color="auto" w:sz="4" w:space="0"/>
              <w:left w:val="single" w:color="auto" w:sz="4" w:space="0"/>
              <w:bottom w:val="single" w:color="auto" w:sz="4" w:space="0"/>
              <w:right w:val="single" w:color="auto" w:sz="4" w:space="0"/>
            </w:tcBorders>
          </w:tcPr>
          <w:p w:rsidR="009822ED" w:rsidP="009822ED" w:rsidRDefault="009822ED">
            <w:pPr>
              <w:rPr>
                <w:rFonts w:cs="Arial"/>
                <w:szCs w:val="20"/>
              </w:rPr>
            </w:pPr>
            <w:r>
              <w:rPr>
                <w:rFonts w:cs="Arial"/>
                <w:szCs w:val="20"/>
              </w:rPr>
              <w:t>3.3 Support big and small business</w:t>
            </w:r>
          </w:p>
          <w:p w:rsidR="009822ED" w:rsidP="009822ED" w:rsidRDefault="009822ED">
            <w:pPr>
              <w:rPr>
                <w:rFonts w:cs="Arial"/>
                <w:szCs w:val="20"/>
              </w:rPr>
            </w:pPr>
            <w:r w:rsidRPr="00C42A88">
              <w:rPr>
                <w:rFonts w:cs="Arial"/>
                <w:szCs w:val="20"/>
              </w:rPr>
              <w:t>5.2 Keep residents safe</w:t>
            </w:r>
          </w:p>
          <w:p w:rsidR="009822ED" w:rsidP="009822ED" w:rsidRDefault="009822ED">
            <w:pPr>
              <w:rPr>
                <w:rFonts w:cs="Arial"/>
                <w:szCs w:val="20"/>
              </w:rPr>
            </w:pPr>
            <w:r>
              <w:rPr>
                <w:rFonts w:cs="Arial"/>
                <w:szCs w:val="20"/>
              </w:rPr>
              <w:t>5.3 Improve mental and physical wellbeing</w:t>
            </w:r>
          </w:p>
          <w:p w:rsidRPr="002B5D92" w:rsidR="009822ED" w:rsidP="009822ED" w:rsidRDefault="009822ED">
            <w:pPr>
              <w:rPr>
                <w:rFonts w:cs="Arial"/>
                <w:szCs w:val="20"/>
              </w:rPr>
            </w:pPr>
            <w:r>
              <w:rPr>
                <w:rFonts w:cs="Arial"/>
                <w:szCs w:val="20"/>
              </w:rPr>
              <w:t>6.3 Act with integrity</w:t>
            </w:r>
          </w:p>
        </w:tc>
      </w:tr>
    </w:tbl>
    <w:p w:rsidRPr="00904F18" w:rsidR="00E873D8" w:rsidP="00E873D8" w:rsidRDefault="00E873D8">
      <w:pPr>
        <w:rPr>
          <w:rFonts w:cs="Arial"/>
          <w:szCs w:val="20"/>
        </w:rPr>
      </w:pPr>
    </w:p>
    <w:p w:rsidR="00DD47B6" w:rsidRDefault="00DD47B6">
      <w:bookmarkStart w:name="_GoBack" w:id="10"/>
      <w:bookmarkEnd w:id="10"/>
    </w:p>
    <w:sectPr w:rsidR="00DD47B6" w:rsidSect="000C5F1B">
      <w:headerReference w:type="even" r:id="rId8"/>
      <w:headerReference w:type="default" r:id="rId9"/>
      <w:headerReference w:type="first" r:id="rId10"/>
      <w:type w:val="continuous"/>
      <w:pgSz w:w="16838" w:h="11906" w:orient="landscape" w:code="9"/>
      <w:pgMar w:top="568" w:right="964" w:bottom="568" w:left="96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E6" w:rsidRDefault="00CA35E6">
      <w:pPr>
        <w:spacing w:before="0" w:after="0" w:line="240" w:lineRule="auto"/>
      </w:pPr>
      <w:r>
        <w:separator/>
      </w:r>
    </w:p>
  </w:endnote>
  <w:endnote w:type="continuationSeparator" w:id="0">
    <w:p w:rsidR="00CA35E6" w:rsidRDefault="00CA35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644299"/>
      <w:docPartObj>
        <w:docPartGallery w:val="Page Numbers (Bottom of Page)"/>
        <w:docPartUnique/>
      </w:docPartObj>
    </w:sdtPr>
    <w:sdtEndPr>
      <w:rPr>
        <w:noProof/>
      </w:rPr>
    </w:sdtEndPr>
    <w:sdtContent>
      <w:p w:rsidR="00807067" w:rsidRDefault="00807067">
        <w:pPr>
          <w:pStyle w:val="Footer"/>
        </w:pPr>
        <w:r>
          <w:fldChar w:fldCharType="begin"/>
        </w:r>
        <w:r>
          <w:instrText xml:space="preserve"> PAGE   \* MERGEFORMAT </w:instrText>
        </w:r>
        <w:r>
          <w:fldChar w:fldCharType="separate"/>
        </w:r>
        <w:r w:rsidR="00F92466">
          <w:rPr>
            <w:noProof/>
          </w:rPr>
          <w:t>1</w:t>
        </w:r>
        <w:r>
          <w:rPr>
            <w:noProof/>
          </w:rPr>
          <w:fldChar w:fldCharType="end"/>
        </w:r>
      </w:p>
    </w:sdtContent>
  </w:sdt>
  <w:p w:rsidR="00807067" w:rsidRDefault="0080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E6" w:rsidRDefault="00CA35E6">
      <w:pPr>
        <w:spacing w:before="0" w:after="0" w:line="240" w:lineRule="auto"/>
      </w:pPr>
      <w:r>
        <w:separator/>
      </w:r>
    </w:p>
  </w:footnote>
  <w:footnote w:type="continuationSeparator" w:id="0">
    <w:p w:rsidR="00CA35E6" w:rsidRDefault="00CA35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F1" w:rsidRDefault="00F9246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F1" w:rsidRDefault="00F92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F1" w:rsidRDefault="00F92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03A8"/>
    <w:multiLevelType w:val="hybridMultilevel"/>
    <w:tmpl w:val="FD98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300E3"/>
    <w:multiLevelType w:val="hybridMultilevel"/>
    <w:tmpl w:val="D0083F44"/>
    <w:lvl w:ilvl="0" w:tplc="96E8E8E8">
      <w:start w:val="5"/>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77E4AA0"/>
    <w:multiLevelType w:val="hybridMultilevel"/>
    <w:tmpl w:val="4AF05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C72C09"/>
    <w:multiLevelType w:val="multilevel"/>
    <w:tmpl w:val="1D44FF6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E482EA2"/>
    <w:multiLevelType w:val="hybridMultilevel"/>
    <w:tmpl w:val="834208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F34F2"/>
    <w:multiLevelType w:val="hybridMultilevel"/>
    <w:tmpl w:val="B3B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4496C"/>
    <w:multiLevelType w:val="hybridMultilevel"/>
    <w:tmpl w:val="DBDC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F2ECB"/>
    <w:multiLevelType w:val="hybridMultilevel"/>
    <w:tmpl w:val="DB0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3036C"/>
    <w:multiLevelType w:val="hybridMultilevel"/>
    <w:tmpl w:val="0AC4681E"/>
    <w:lvl w:ilvl="0" w:tplc="96E8E8E8">
      <w:start w:val="5"/>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200EC"/>
    <w:multiLevelType w:val="hybridMultilevel"/>
    <w:tmpl w:val="20301ECA"/>
    <w:lvl w:ilvl="0" w:tplc="96E8E8E8">
      <w:start w:val="5"/>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E35C2"/>
    <w:multiLevelType w:val="hybridMultilevel"/>
    <w:tmpl w:val="38EE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7"/>
  </w:num>
  <w:num w:numId="6">
    <w:abstractNumId w:val="5"/>
  </w:num>
  <w:num w:numId="7">
    <w:abstractNumId w:val="9"/>
  </w:num>
  <w:num w:numId="8">
    <w:abstractNumId w:val="8"/>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D8"/>
    <w:rsid w:val="00033E13"/>
    <w:rsid w:val="000C5F1B"/>
    <w:rsid w:val="001435F1"/>
    <w:rsid w:val="001507C1"/>
    <w:rsid w:val="00227128"/>
    <w:rsid w:val="002603B0"/>
    <w:rsid w:val="00267E29"/>
    <w:rsid w:val="00294E69"/>
    <w:rsid w:val="002A5741"/>
    <w:rsid w:val="0035139C"/>
    <w:rsid w:val="003C04CB"/>
    <w:rsid w:val="003E0A50"/>
    <w:rsid w:val="003E5BF6"/>
    <w:rsid w:val="004944D7"/>
    <w:rsid w:val="004947C1"/>
    <w:rsid w:val="004C2B3D"/>
    <w:rsid w:val="00501D82"/>
    <w:rsid w:val="00510B1A"/>
    <w:rsid w:val="00571DE5"/>
    <w:rsid w:val="005906DA"/>
    <w:rsid w:val="005B0D6D"/>
    <w:rsid w:val="005D6A8A"/>
    <w:rsid w:val="005D74A5"/>
    <w:rsid w:val="00696A52"/>
    <w:rsid w:val="006C25CF"/>
    <w:rsid w:val="006D3525"/>
    <w:rsid w:val="006D3697"/>
    <w:rsid w:val="006D6D1B"/>
    <w:rsid w:val="006E65C1"/>
    <w:rsid w:val="006F0508"/>
    <w:rsid w:val="007B43AF"/>
    <w:rsid w:val="007D0816"/>
    <w:rsid w:val="00807067"/>
    <w:rsid w:val="0081288A"/>
    <w:rsid w:val="008225BD"/>
    <w:rsid w:val="00857B27"/>
    <w:rsid w:val="00862B51"/>
    <w:rsid w:val="008856C4"/>
    <w:rsid w:val="008D44D4"/>
    <w:rsid w:val="008D7754"/>
    <w:rsid w:val="00905802"/>
    <w:rsid w:val="009059A7"/>
    <w:rsid w:val="00924DBE"/>
    <w:rsid w:val="009762F4"/>
    <w:rsid w:val="00981B8D"/>
    <w:rsid w:val="009822ED"/>
    <w:rsid w:val="00995A87"/>
    <w:rsid w:val="00A07F50"/>
    <w:rsid w:val="00A61E65"/>
    <w:rsid w:val="00A7001E"/>
    <w:rsid w:val="00A90ED1"/>
    <w:rsid w:val="00A96FE1"/>
    <w:rsid w:val="00A972BE"/>
    <w:rsid w:val="00AE3436"/>
    <w:rsid w:val="00B07CB6"/>
    <w:rsid w:val="00B1766C"/>
    <w:rsid w:val="00B3319E"/>
    <w:rsid w:val="00B44305"/>
    <w:rsid w:val="00B57F45"/>
    <w:rsid w:val="00B84A00"/>
    <w:rsid w:val="00B8765D"/>
    <w:rsid w:val="00BE4284"/>
    <w:rsid w:val="00C02ED6"/>
    <w:rsid w:val="00C045B1"/>
    <w:rsid w:val="00C0610F"/>
    <w:rsid w:val="00C06E74"/>
    <w:rsid w:val="00C143BE"/>
    <w:rsid w:val="00C241CF"/>
    <w:rsid w:val="00C42A88"/>
    <w:rsid w:val="00CA35E6"/>
    <w:rsid w:val="00CE5F33"/>
    <w:rsid w:val="00D17D6F"/>
    <w:rsid w:val="00D26B19"/>
    <w:rsid w:val="00D422C9"/>
    <w:rsid w:val="00DC5C97"/>
    <w:rsid w:val="00DD47B6"/>
    <w:rsid w:val="00DE7F5B"/>
    <w:rsid w:val="00E16022"/>
    <w:rsid w:val="00E873D8"/>
    <w:rsid w:val="00ED5E75"/>
    <w:rsid w:val="00F073C8"/>
    <w:rsid w:val="00F15078"/>
    <w:rsid w:val="00F44783"/>
    <w:rsid w:val="00F92466"/>
    <w:rsid w:val="00FD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6BD7"/>
  <w15:chartTrackingRefBased/>
  <w15:docId w15:val="{AC9F394A-0DBB-4AC6-B812-457AC38E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3D8"/>
    <w:pPr>
      <w:spacing w:before="60" w:after="60" w:line="288" w:lineRule="auto"/>
    </w:pPr>
    <w:rPr>
      <w:rFonts w:ascii="Arial" w:eastAsia="Times New Roman" w:hAnsi="Arial" w:cs="Times New Roman"/>
      <w:sz w:val="20"/>
      <w:szCs w:val="24"/>
    </w:rPr>
  </w:style>
  <w:style w:type="paragraph" w:styleId="Heading1">
    <w:name w:val="heading 1"/>
    <w:basedOn w:val="Normal"/>
    <w:next w:val="Normal"/>
    <w:link w:val="Heading1Char"/>
    <w:autoRedefine/>
    <w:qFormat/>
    <w:rsid w:val="00E873D8"/>
    <w:pPr>
      <w:keepNext/>
      <w:spacing w:before="240"/>
      <w:jc w:val="center"/>
      <w:outlineLvl w:val="0"/>
    </w:pPr>
    <w:rPr>
      <w:rFonts w:ascii="Arial Bold" w:hAnsi="Arial Bold" w:cs="Arial"/>
      <w:b/>
      <w:bCs/>
      <w:noProof/>
      <w:kern w:val="32"/>
      <w:sz w:val="32"/>
      <w:szCs w:val="32"/>
      <w:lang w:eastAsia="en-GB"/>
    </w:rPr>
  </w:style>
  <w:style w:type="paragraph" w:styleId="Heading2">
    <w:name w:val="heading 2"/>
    <w:basedOn w:val="Normal"/>
    <w:next w:val="Normal"/>
    <w:link w:val="Heading2Char"/>
    <w:autoRedefine/>
    <w:qFormat/>
    <w:rsid w:val="00E873D8"/>
    <w:pPr>
      <w:keepNext/>
      <w:spacing w:before="0" w:line="240" w:lineRule="auto"/>
      <w:jc w:val="center"/>
      <w:outlineLvl w:val="1"/>
    </w:pPr>
    <w:rPr>
      <w:rFonts w:ascii="Arial Bold" w:hAnsi="Arial Bold" w:cs="Arial"/>
      <w:b/>
      <w:bCs/>
      <w:iCs/>
      <w:sz w:val="32"/>
      <w:szCs w:val="28"/>
    </w:rPr>
  </w:style>
  <w:style w:type="paragraph" w:styleId="Heading3">
    <w:name w:val="heading 3"/>
    <w:basedOn w:val="Normal"/>
    <w:next w:val="Normal"/>
    <w:link w:val="Heading3Char"/>
    <w:autoRedefine/>
    <w:qFormat/>
    <w:rsid w:val="00E873D8"/>
    <w:pPr>
      <w:keepNext/>
      <w:spacing w:before="240" w:line="240" w:lineRule="auto"/>
      <w:outlineLvl w:val="2"/>
    </w:pPr>
    <w:rPr>
      <w:rFonts w:ascii="Arial Bold" w:hAnsi="Arial Bold"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3D8"/>
    <w:rPr>
      <w:rFonts w:ascii="Arial Bold" w:eastAsia="Times New Roman" w:hAnsi="Arial Bold" w:cs="Arial"/>
      <w:b/>
      <w:bCs/>
      <w:noProof/>
      <w:kern w:val="32"/>
      <w:sz w:val="32"/>
      <w:szCs w:val="32"/>
      <w:lang w:eastAsia="en-GB"/>
    </w:rPr>
  </w:style>
  <w:style w:type="character" w:customStyle="1" w:styleId="Heading2Char">
    <w:name w:val="Heading 2 Char"/>
    <w:basedOn w:val="DefaultParagraphFont"/>
    <w:link w:val="Heading2"/>
    <w:rsid w:val="00E873D8"/>
    <w:rPr>
      <w:rFonts w:ascii="Arial Bold" w:eastAsia="Times New Roman" w:hAnsi="Arial Bold" w:cs="Arial"/>
      <w:b/>
      <w:bCs/>
      <w:iCs/>
      <w:sz w:val="32"/>
      <w:szCs w:val="28"/>
    </w:rPr>
  </w:style>
  <w:style w:type="character" w:customStyle="1" w:styleId="Heading3Char">
    <w:name w:val="Heading 3 Char"/>
    <w:basedOn w:val="DefaultParagraphFont"/>
    <w:link w:val="Heading3"/>
    <w:rsid w:val="00E873D8"/>
    <w:rPr>
      <w:rFonts w:ascii="Arial Bold" w:eastAsia="Times New Roman" w:hAnsi="Arial Bold" w:cs="Arial"/>
      <w:b/>
      <w:bCs/>
      <w:sz w:val="28"/>
      <w:szCs w:val="26"/>
    </w:rPr>
  </w:style>
  <w:style w:type="paragraph" w:styleId="Header">
    <w:name w:val="header"/>
    <w:basedOn w:val="Normal"/>
    <w:link w:val="HeaderChar"/>
    <w:uiPriority w:val="99"/>
    <w:rsid w:val="00E873D8"/>
    <w:pPr>
      <w:tabs>
        <w:tab w:val="center" w:pos="4153"/>
        <w:tab w:val="right" w:pos="8306"/>
      </w:tabs>
    </w:pPr>
  </w:style>
  <w:style w:type="character" w:customStyle="1" w:styleId="HeaderChar">
    <w:name w:val="Header Char"/>
    <w:basedOn w:val="DefaultParagraphFont"/>
    <w:link w:val="Header"/>
    <w:uiPriority w:val="99"/>
    <w:rsid w:val="00E873D8"/>
    <w:rPr>
      <w:rFonts w:ascii="Arial" w:eastAsia="Times New Roman" w:hAnsi="Arial" w:cs="Times New Roman"/>
      <w:sz w:val="20"/>
      <w:szCs w:val="24"/>
    </w:rPr>
  </w:style>
  <w:style w:type="paragraph" w:styleId="ListParagraph">
    <w:name w:val="List Paragraph"/>
    <w:basedOn w:val="Normal"/>
    <w:uiPriority w:val="34"/>
    <w:qFormat/>
    <w:rsid w:val="00C06E74"/>
    <w:pPr>
      <w:ind w:left="720"/>
      <w:contextualSpacing/>
    </w:pPr>
  </w:style>
  <w:style w:type="paragraph" w:styleId="Footer">
    <w:name w:val="footer"/>
    <w:basedOn w:val="Normal"/>
    <w:link w:val="FooterChar"/>
    <w:uiPriority w:val="99"/>
    <w:unhideWhenUsed/>
    <w:rsid w:val="0080706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0706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Michael-Health-and-Safety-Service-Plan-May-2023-24</dc:title>
  <dc:subject>
  </dc:subject>
  <dc:creator>Suneeta Kumar</dc:creator>
  <cp:keywords>
  </cp:keywords>
  <dc:description>
  </dc:description>
  <cp:lastModifiedBy>Contensis For Councils</cp:lastModifiedBy>
  <cp:revision>2</cp:revision>
  <dcterms:created xsi:type="dcterms:W3CDTF">2023-07-20T08:06:00Z</dcterms:created>
  <dcterms:modified xsi:type="dcterms:W3CDTF">2024-11-28T12:19:19Z</dcterms:modified>
</cp:coreProperties>dified>
</cp:coreProperties>
</file>