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615C8" w:rsidR="003340FD" w:rsidP="000615C8" w:rsidRDefault="003340FD" w14:paraId="367431C3" w14:textId="21F24D0F">
      <w:pPr>
        <w:ind w:left="-1418" w:right="-1322"/>
        <w:jc w:val="center"/>
        <w:rPr>
          <w:rFonts w:ascii="Arial" w:hAnsi="Arial" w:cs="Arial"/>
          <w:b/>
          <w:color w:val="FF0000"/>
          <w:sz w:val="40"/>
          <w:szCs w:val="40"/>
        </w:rPr>
      </w:pPr>
      <w:bookmarkStart w:name="_GoBack" w:id="0"/>
      <w:bookmarkEnd w:id="0"/>
    </w:p>
    <w:p w:rsidR="003340FD" w:rsidP="000615C8" w:rsidRDefault="003340FD" w14:paraId="4E8EBE63" w14:textId="77777777">
      <w:pPr>
        <w:ind w:left="-1418" w:right="-1322"/>
        <w:jc w:val="center"/>
        <w:rPr>
          <w:rFonts w:ascii="Arial" w:hAnsi="Arial" w:cs="Arial"/>
          <w:b/>
          <w:sz w:val="72"/>
          <w:szCs w:val="72"/>
        </w:rPr>
      </w:pPr>
    </w:p>
    <w:p w:rsidR="00AE7691" w:rsidP="000615C8" w:rsidRDefault="00AE7691" w14:paraId="256C4C37" w14:textId="22A5D2A5">
      <w:pPr>
        <w:ind w:left="-1418" w:right="-1322"/>
        <w:jc w:val="center"/>
        <w:rPr>
          <w:rFonts w:ascii="Arial" w:hAnsi="Arial" w:cs="Arial"/>
          <w:b/>
          <w:sz w:val="72"/>
          <w:szCs w:val="72"/>
        </w:rPr>
      </w:pPr>
      <w:r>
        <w:rPr>
          <w:rFonts w:ascii="Arial" w:hAnsi="Arial" w:cs="Arial"/>
          <w:b/>
          <w:sz w:val="72"/>
          <w:szCs w:val="72"/>
        </w:rPr>
        <w:t xml:space="preserve">Hertsmere Borough Council </w:t>
      </w:r>
    </w:p>
    <w:p w:rsidR="00A64209" w:rsidP="000615C8" w:rsidRDefault="00AE7691" w14:paraId="3C77A469" w14:textId="77777777">
      <w:pPr>
        <w:ind w:left="-1418" w:right="-1322"/>
        <w:jc w:val="center"/>
        <w:rPr>
          <w:rFonts w:ascii="Arial" w:hAnsi="Arial" w:cs="Arial"/>
          <w:b/>
          <w:sz w:val="72"/>
          <w:szCs w:val="72"/>
        </w:rPr>
      </w:pPr>
      <w:r>
        <w:rPr>
          <w:rFonts w:ascii="Arial" w:hAnsi="Arial" w:cs="Arial"/>
          <w:b/>
          <w:sz w:val="72"/>
          <w:szCs w:val="72"/>
        </w:rPr>
        <w:t>Fraud Sanctions and Prosecutions</w:t>
      </w:r>
      <w:r w:rsidRPr="00360DD0">
        <w:rPr>
          <w:rFonts w:ascii="Arial" w:hAnsi="Arial" w:cs="Arial"/>
          <w:b/>
          <w:sz w:val="72"/>
          <w:szCs w:val="72"/>
        </w:rPr>
        <w:t xml:space="preserve"> Policy</w:t>
      </w:r>
    </w:p>
    <w:p w:rsidRPr="00360DD0" w:rsidR="00AE7691" w:rsidP="000615C8" w:rsidRDefault="00A64209" w14:paraId="46B4AF40" w14:textId="4AA52087">
      <w:pPr>
        <w:ind w:left="-1418" w:right="-1322"/>
        <w:jc w:val="center"/>
        <w:rPr>
          <w:rFonts w:ascii="Arial" w:hAnsi="Arial" w:cs="Arial"/>
          <w:b/>
          <w:sz w:val="72"/>
          <w:szCs w:val="72"/>
        </w:rPr>
      </w:pPr>
      <w:r>
        <w:rPr>
          <w:rFonts w:ascii="Arial" w:hAnsi="Arial" w:cs="Arial"/>
          <w:b/>
          <w:sz w:val="72"/>
          <w:szCs w:val="72"/>
        </w:rPr>
        <w:t>2024</w:t>
      </w:r>
      <w:r w:rsidRPr="00360DD0" w:rsidR="00AE7691">
        <w:rPr>
          <w:rFonts w:ascii="Arial" w:hAnsi="Arial" w:cs="Arial"/>
          <w:b/>
          <w:sz w:val="72"/>
          <w:szCs w:val="72"/>
        </w:rPr>
        <w:t xml:space="preserve"> </w:t>
      </w:r>
    </w:p>
    <w:p w:rsidR="00794073" w:rsidP="00794073" w:rsidRDefault="00794073" w14:paraId="2EFA6572" w14:textId="77777777">
      <w:pPr>
        <w:rPr>
          <w:sz w:val="24"/>
        </w:rPr>
      </w:pPr>
    </w:p>
    <w:p w:rsidR="00794073" w:rsidP="00794073" w:rsidRDefault="00794073" w14:paraId="7E4D69CB" w14:textId="77777777">
      <w:pPr>
        <w:rPr>
          <w:sz w:val="24"/>
        </w:rPr>
      </w:pPr>
    </w:p>
    <w:p w:rsidR="00794073" w:rsidRDefault="00794073" w14:paraId="1CFA5698" w14:textId="77777777">
      <w:pPr>
        <w:rPr>
          <w:b/>
          <w:bCs/>
          <w:sz w:val="24"/>
        </w:rPr>
      </w:pPr>
      <w:r>
        <w:rPr>
          <w:b/>
          <w:bCs/>
          <w:sz w:val="24"/>
        </w:rPr>
        <w:br w:type="page"/>
      </w:r>
    </w:p>
    <w:p w:rsidR="00533915" w:rsidP="000615C8" w:rsidRDefault="003340FD" w14:paraId="6F44D04C" w14:textId="6BC26DC7">
      <w:pPr>
        <w:jc w:val="center"/>
        <w:rPr>
          <w:rFonts w:ascii="Arial" w:hAnsi="Arial" w:cs="Arial"/>
          <w:b/>
          <w:bCs/>
          <w:sz w:val="24"/>
          <w:szCs w:val="24"/>
        </w:rPr>
      </w:pPr>
      <w:r w:rsidRPr="00A64209">
        <w:rPr>
          <w:rFonts w:ascii="Arial" w:hAnsi="Arial" w:cs="Arial"/>
          <w:b/>
          <w:bCs/>
          <w:sz w:val="24"/>
          <w:szCs w:val="24"/>
        </w:rPr>
        <w:lastRenderedPageBreak/>
        <w:t>Contents</w:t>
      </w:r>
    </w:p>
    <w:p w:rsidRPr="00A64209" w:rsidR="000615C8" w:rsidP="000615C8" w:rsidRDefault="000615C8" w14:paraId="17572F9F" w14:textId="77777777">
      <w:pPr>
        <w:jc w:val="center"/>
        <w:rPr>
          <w:rFonts w:ascii="Arial" w:hAnsi="Arial" w:cs="Arial"/>
          <w:b/>
          <w:bCs/>
          <w:sz w:val="24"/>
          <w:szCs w:val="24"/>
        </w:rPr>
      </w:pPr>
    </w:p>
    <w:p w:rsidRPr="00A64209" w:rsidR="003340FD" w:rsidP="00600D40" w:rsidRDefault="003340FD" w14:paraId="19461F9A" w14:textId="0587AB01">
      <w:pPr>
        <w:pStyle w:val="ListParagraph"/>
        <w:numPr>
          <w:ilvl w:val="0"/>
          <w:numId w:val="10"/>
        </w:numPr>
        <w:tabs>
          <w:tab w:val="left" w:pos="4678"/>
          <w:tab w:val="left" w:pos="6521"/>
        </w:tabs>
        <w:kinsoku w:val="0"/>
        <w:overflowPunct w:val="0"/>
        <w:spacing w:before="1"/>
        <w:ind w:left="426" w:hanging="426"/>
        <w:textAlignment w:val="baseline"/>
        <w:rPr>
          <w:rFonts w:ascii="Arial" w:hAnsi="Arial" w:cs="Arial"/>
          <w:b/>
          <w:bCs/>
          <w:sz w:val="24"/>
          <w:szCs w:val="24"/>
        </w:rPr>
      </w:pPr>
      <w:r w:rsidRPr="00A64209">
        <w:rPr>
          <w:rFonts w:ascii="Arial" w:hAnsi="Arial" w:cs="Arial"/>
          <w:b/>
          <w:bCs/>
          <w:sz w:val="24"/>
          <w:szCs w:val="24"/>
        </w:rPr>
        <w:t>Introduction</w:t>
      </w:r>
      <w:r w:rsidR="000615C8">
        <w:rPr>
          <w:rFonts w:ascii="Arial" w:hAnsi="Arial" w:cs="Arial"/>
          <w:b/>
          <w:bCs/>
          <w:sz w:val="24"/>
          <w:szCs w:val="24"/>
        </w:rPr>
        <w:t xml:space="preserve"> ……………………………………………………………..</w:t>
      </w:r>
      <w:r w:rsidR="000615C8">
        <w:rPr>
          <w:rFonts w:ascii="Arial" w:hAnsi="Arial" w:cs="Arial"/>
          <w:b/>
          <w:bCs/>
          <w:sz w:val="24"/>
          <w:szCs w:val="24"/>
        </w:rPr>
        <w:tab/>
        <w:t>3</w:t>
      </w:r>
    </w:p>
    <w:p w:rsidRPr="00A64209" w:rsidR="00794073" w:rsidP="000615C8" w:rsidRDefault="00794073" w14:paraId="26ED4F15" w14:textId="77777777">
      <w:pPr>
        <w:pStyle w:val="ListParagraph"/>
        <w:tabs>
          <w:tab w:val="left" w:pos="4678"/>
        </w:tabs>
        <w:kinsoku w:val="0"/>
        <w:overflowPunct w:val="0"/>
        <w:spacing w:before="1"/>
        <w:ind w:left="3686"/>
        <w:textAlignment w:val="baseline"/>
        <w:rPr>
          <w:rFonts w:ascii="Arial" w:hAnsi="Arial" w:cs="Arial"/>
          <w:b/>
          <w:bCs/>
          <w:sz w:val="24"/>
          <w:szCs w:val="24"/>
        </w:rPr>
      </w:pPr>
    </w:p>
    <w:p w:rsidRPr="00A64209" w:rsidR="003340FD" w:rsidP="00600D40" w:rsidRDefault="003340FD" w14:paraId="13CDDE04" w14:textId="136E59D0">
      <w:pPr>
        <w:pStyle w:val="ListParagraph"/>
        <w:numPr>
          <w:ilvl w:val="0"/>
          <w:numId w:val="10"/>
        </w:numPr>
        <w:tabs>
          <w:tab w:val="left" w:pos="4678"/>
        </w:tabs>
        <w:kinsoku w:val="0"/>
        <w:overflowPunct w:val="0"/>
        <w:spacing w:before="1"/>
        <w:ind w:left="426" w:hanging="426"/>
        <w:textAlignment w:val="baseline"/>
        <w:rPr>
          <w:rFonts w:ascii="Arial" w:hAnsi="Arial" w:cs="Arial"/>
          <w:b/>
          <w:bCs/>
          <w:sz w:val="24"/>
          <w:szCs w:val="24"/>
        </w:rPr>
      </w:pPr>
      <w:r w:rsidRPr="00A64209">
        <w:rPr>
          <w:rFonts w:ascii="Arial" w:hAnsi="Arial" w:cs="Arial"/>
          <w:b/>
          <w:bCs/>
          <w:sz w:val="24"/>
          <w:szCs w:val="24"/>
        </w:rPr>
        <w:t>Options</w:t>
      </w:r>
      <w:r w:rsidR="000615C8">
        <w:rPr>
          <w:rFonts w:ascii="Arial" w:hAnsi="Arial" w:cs="Arial"/>
          <w:b/>
          <w:bCs/>
          <w:sz w:val="24"/>
          <w:szCs w:val="24"/>
        </w:rPr>
        <w:t xml:space="preserve"> …………………………………………………………………..</w:t>
      </w:r>
      <w:r w:rsidR="000615C8">
        <w:rPr>
          <w:rFonts w:ascii="Arial" w:hAnsi="Arial" w:cs="Arial"/>
          <w:b/>
          <w:bCs/>
          <w:sz w:val="24"/>
          <w:szCs w:val="24"/>
        </w:rPr>
        <w:tab/>
        <w:t>3</w:t>
      </w:r>
    </w:p>
    <w:p w:rsidRPr="00A64209" w:rsidR="00794073" w:rsidP="000615C8" w:rsidRDefault="00794073" w14:paraId="00582658" w14:textId="77777777">
      <w:pPr>
        <w:pStyle w:val="ListParagraph"/>
        <w:tabs>
          <w:tab w:val="left" w:pos="4678"/>
        </w:tabs>
        <w:kinsoku w:val="0"/>
        <w:overflowPunct w:val="0"/>
        <w:spacing w:before="1"/>
        <w:ind w:left="426" w:hanging="426"/>
        <w:textAlignment w:val="baseline"/>
        <w:rPr>
          <w:rFonts w:ascii="Arial" w:hAnsi="Arial" w:cs="Arial"/>
          <w:b/>
          <w:bCs/>
          <w:sz w:val="24"/>
          <w:szCs w:val="24"/>
        </w:rPr>
      </w:pPr>
    </w:p>
    <w:p w:rsidRPr="00A64209" w:rsidR="003340FD" w:rsidP="00600D40" w:rsidRDefault="003340FD" w14:paraId="1E0C96D9" w14:textId="493B13FA">
      <w:pPr>
        <w:pStyle w:val="ListParagraph"/>
        <w:numPr>
          <w:ilvl w:val="0"/>
          <w:numId w:val="10"/>
        </w:numPr>
        <w:tabs>
          <w:tab w:val="left" w:pos="4678"/>
        </w:tabs>
        <w:kinsoku w:val="0"/>
        <w:overflowPunct w:val="0"/>
        <w:spacing w:before="1"/>
        <w:ind w:left="426" w:hanging="426"/>
        <w:textAlignment w:val="baseline"/>
        <w:rPr>
          <w:rFonts w:ascii="Arial" w:hAnsi="Arial" w:cs="Arial"/>
          <w:b/>
          <w:bCs/>
          <w:sz w:val="24"/>
          <w:szCs w:val="24"/>
        </w:rPr>
      </w:pPr>
      <w:r w:rsidRPr="00A64209">
        <w:rPr>
          <w:rFonts w:ascii="Arial" w:hAnsi="Arial" w:cs="Arial"/>
          <w:b/>
          <w:bCs/>
          <w:sz w:val="24"/>
          <w:szCs w:val="24"/>
        </w:rPr>
        <w:t>Partnerships</w:t>
      </w:r>
      <w:r w:rsidR="000615C8">
        <w:rPr>
          <w:rFonts w:ascii="Arial" w:hAnsi="Arial" w:cs="Arial"/>
          <w:b/>
          <w:bCs/>
          <w:sz w:val="24"/>
          <w:szCs w:val="24"/>
        </w:rPr>
        <w:t xml:space="preserve"> …………………………………………………………….</w:t>
      </w:r>
      <w:r w:rsidR="000615C8">
        <w:rPr>
          <w:rFonts w:ascii="Arial" w:hAnsi="Arial" w:cs="Arial"/>
          <w:b/>
          <w:bCs/>
          <w:sz w:val="24"/>
          <w:szCs w:val="24"/>
        </w:rPr>
        <w:tab/>
        <w:t>7</w:t>
      </w:r>
    </w:p>
    <w:p w:rsidRPr="00A64209" w:rsidR="00794073" w:rsidP="000615C8" w:rsidRDefault="00794073" w14:paraId="7F052DE0" w14:textId="77777777">
      <w:pPr>
        <w:pStyle w:val="ListParagraph"/>
        <w:tabs>
          <w:tab w:val="left" w:pos="4678"/>
        </w:tabs>
        <w:kinsoku w:val="0"/>
        <w:overflowPunct w:val="0"/>
        <w:spacing w:before="1"/>
        <w:ind w:left="426" w:hanging="426"/>
        <w:textAlignment w:val="baseline"/>
        <w:rPr>
          <w:rFonts w:ascii="Arial" w:hAnsi="Arial" w:cs="Arial"/>
          <w:b/>
          <w:bCs/>
          <w:sz w:val="24"/>
          <w:szCs w:val="24"/>
        </w:rPr>
      </w:pPr>
    </w:p>
    <w:p w:rsidRPr="00A64209" w:rsidR="003340FD" w:rsidP="00600D40" w:rsidRDefault="003340FD" w14:paraId="6E459C48" w14:textId="7993A654">
      <w:pPr>
        <w:pStyle w:val="ListParagraph"/>
        <w:numPr>
          <w:ilvl w:val="0"/>
          <w:numId w:val="10"/>
        </w:numPr>
        <w:tabs>
          <w:tab w:val="left" w:pos="4678"/>
        </w:tabs>
        <w:kinsoku w:val="0"/>
        <w:overflowPunct w:val="0"/>
        <w:spacing w:before="1"/>
        <w:ind w:left="426" w:hanging="426"/>
        <w:textAlignment w:val="baseline"/>
        <w:rPr>
          <w:rFonts w:ascii="Arial" w:hAnsi="Arial" w:cs="Arial"/>
          <w:b/>
          <w:bCs/>
          <w:sz w:val="24"/>
          <w:szCs w:val="24"/>
        </w:rPr>
      </w:pPr>
      <w:r w:rsidRPr="00A64209">
        <w:rPr>
          <w:rFonts w:ascii="Arial" w:hAnsi="Arial" w:cs="Arial"/>
          <w:b/>
          <w:bCs/>
          <w:sz w:val="24"/>
          <w:szCs w:val="24"/>
        </w:rPr>
        <w:t>Recording Decisions</w:t>
      </w:r>
      <w:r w:rsidR="000615C8">
        <w:rPr>
          <w:rFonts w:ascii="Arial" w:hAnsi="Arial" w:cs="Arial"/>
          <w:b/>
          <w:bCs/>
          <w:sz w:val="24"/>
          <w:szCs w:val="24"/>
        </w:rPr>
        <w:t xml:space="preserve"> …………………………………………………..</w:t>
      </w:r>
      <w:r w:rsidR="000615C8">
        <w:rPr>
          <w:rFonts w:ascii="Arial" w:hAnsi="Arial" w:cs="Arial"/>
          <w:b/>
          <w:bCs/>
          <w:sz w:val="24"/>
          <w:szCs w:val="24"/>
        </w:rPr>
        <w:tab/>
        <w:t>7</w:t>
      </w:r>
    </w:p>
    <w:p w:rsidRPr="00A64209" w:rsidR="00794073" w:rsidP="000615C8" w:rsidRDefault="00794073" w14:paraId="2727DAD8" w14:textId="77777777">
      <w:pPr>
        <w:pStyle w:val="ListParagraph"/>
        <w:tabs>
          <w:tab w:val="left" w:pos="4678"/>
        </w:tabs>
        <w:kinsoku w:val="0"/>
        <w:overflowPunct w:val="0"/>
        <w:spacing w:before="1"/>
        <w:ind w:left="426" w:hanging="426"/>
        <w:textAlignment w:val="baseline"/>
        <w:rPr>
          <w:rFonts w:ascii="Arial" w:hAnsi="Arial" w:cs="Arial"/>
          <w:b/>
          <w:bCs/>
          <w:sz w:val="24"/>
          <w:szCs w:val="24"/>
        </w:rPr>
      </w:pPr>
    </w:p>
    <w:p w:rsidRPr="00A64209" w:rsidR="003340FD" w:rsidP="00600D40" w:rsidRDefault="003340FD" w14:paraId="5604BB1D" w14:textId="0125A6CD">
      <w:pPr>
        <w:pStyle w:val="ListParagraph"/>
        <w:numPr>
          <w:ilvl w:val="0"/>
          <w:numId w:val="10"/>
        </w:numPr>
        <w:tabs>
          <w:tab w:val="left" w:pos="4678"/>
        </w:tabs>
        <w:kinsoku w:val="0"/>
        <w:overflowPunct w:val="0"/>
        <w:spacing w:before="1"/>
        <w:ind w:left="426" w:hanging="426"/>
        <w:textAlignment w:val="baseline"/>
        <w:rPr>
          <w:rFonts w:ascii="Arial" w:hAnsi="Arial" w:cs="Arial"/>
          <w:b/>
          <w:bCs/>
          <w:sz w:val="24"/>
          <w:szCs w:val="24"/>
        </w:rPr>
      </w:pPr>
      <w:r w:rsidRPr="00A64209">
        <w:rPr>
          <w:rFonts w:ascii="Arial" w:hAnsi="Arial" w:cs="Arial"/>
          <w:b/>
          <w:bCs/>
          <w:sz w:val="24"/>
          <w:szCs w:val="24"/>
        </w:rPr>
        <w:t>Publicity</w:t>
      </w:r>
      <w:r w:rsidR="000615C8">
        <w:rPr>
          <w:rFonts w:ascii="Arial" w:hAnsi="Arial" w:cs="Arial"/>
          <w:b/>
          <w:bCs/>
          <w:sz w:val="24"/>
          <w:szCs w:val="24"/>
        </w:rPr>
        <w:t xml:space="preserve"> ………………………………………………………………….</w:t>
      </w:r>
      <w:r w:rsidR="000615C8">
        <w:rPr>
          <w:rFonts w:ascii="Arial" w:hAnsi="Arial" w:cs="Arial"/>
          <w:b/>
          <w:bCs/>
          <w:sz w:val="24"/>
          <w:szCs w:val="24"/>
        </w:rPr>
        <w:tab/>
        <w:t>7</w:t>
      </w:r>
    </w:p>
    <w:p w:rsidRPr="00A64209" w:rsidR="00794073" w:rsidP="000615C8" w:rsidRDefault="000615C8" w14:paraId="7ED903F9" w14:textId="1C7CC976">
      <w:pPr>
        <w:pStyle w:val="ListParagraph"/>
        <w:tabs>
          <w:tab w:val="left" w:pos="4678"/>
        </w:tabs>
        <w:kinsoku w:val="0"/>
        <w:overflowPunct w:val="0"/>
        <w:spacing w:before="1"/>
        <w:ind w:left="426" w:hanging="426"/>
        <w:textAlignment w:val="baseline"/>
        <w:rPr>
          <w:rFonts w:ascii="Arial" w:hAnsi="Arial" w:cs="Arial"/>
          <w:b/>
          <w:bCs/>
          <w:sz w:val="24"/>
          <w:szCs w:val="24"/>
        </w:rPr>
      </w:pPr>
      <w:r>
        <w:rPr>
          <w:rFonts w:ascii="Arial" w:hAnsi="Arial" w:cs="Arial"/>
          <w:b/>
          <w:bCs/>
          <w:sz w:val="24"/>
          <w:szCs w:val="24"/>
        </w:rPr>
        <w:t xml:space="preserve"> </w:t>
      </w:r>
    </w:p>
    <w:p w:rsidRPr="00A64209" w:rsidR="003340FD" w:rsidP="00600D40" w:rsidRDefault="003340FD" w14:paraId="0B12716E" w14:textId="583B8166">
      <w:pPr>
        <w:pStyle w:val="ListParagraph"/>
        <w:numPr>
          <w:ilvl w:val="0"/>
          <w:numId w:val="10"/>
        </w:numPr>
        <w:tabs>
          <w:tab w:val="left" w:pos="4678"/>
        </w:tabs>
        <w:kinsoku w:val="0"/>
        <w:overflowPunct w:val="0"/>
        <w:spacing w:before="1"/>
        <w:ind w:left="426" w:hanging="426"/>
        <w:textAlignment w:val="baseline"/>
        <w:rPr>
          <w:rFonts w:ascii="Arial" w:hAnsi="Arial" w:cs="Arial"/>
          <w:b/>
          <w:bCs/>
          <w:sz w:val="24"/>
          <w:szCs w:val="24"/>
        </w:rPr>
      </w:pPr>
      <w:r w:rsidRPr="00A64209">
        <w:rPr>
          <w:rFonts w:ascii="Arial" w:hAnsi="Arial" w:cs="Arial"/>
          <w:b/>
          <w:bCs/>
          <w:sz w:val="24"/>
          <w:szCs w:val="24"/>
        </w:rPr>
        <w:t>Review</w:t>
      </w:r>
      <w:r w:rsidR="000615C8">
        <w:rPr>
          <w:rFonts w:ascii="Arial" w:hAnsi="Arial" w:cs="Arial"/>
          <w:b/>
          <w:bCs/>
          <w:sz w:val="24"/>
          <w:szCs w:val="24"/>
        </w:rPr>
        <w:t xml:space="preserve"> ……………………………………………………………………</w:t>
      </w:r>
      <w:r w:rsidR="000615C8">
        <w:rPr>
          <w:rFonts w:ascii="Arial" w:hAnsi="Arial" w:cs="Arial"/>
          <w:b/>
          <w:bCs/>
          <w:sz w:val="24"/>
          <w:szCs w:val="24"/>
        </w:rPr>
        <w:tab/>
        <w:t>7</w:t>
      </w:r>
    </w:p>
    <w:p w:rsidR="003340FD" w:rsidP="000615C8" w:rsidRDefault="003340FD" w14:paraId="4199BB0E" w14:textId="5602F451">
      <w:pPr>
        <w:kinsoku w:val="0"/>
        <w:overflowPunct w:val="0"/>
        <w:spacing w:before="1"/>
        <w:textAlignment w:val="baseline"/>
        <w:rPr>
          <w:sz w:val="24"/>
        </w:rPr>
      </w:pPr>
    </w:p>
    <w:p w:rsidR="00794073" w:rsidRDefault="00794073" w14:paraId="3F5E8B6D" w14:textId="4AD8BCE4">
      <w:pPr>
        <w:rPr>
          <w:rFonts w:ascii="Arial" w:hAnsi="Arial" w:cs="Arial"/>
        </w:rPr>
      </w:pPr>
      <w:bookmarkStart w:name="_Hlk94014695" w:id="1"/>
      <w:r>
        <w:rPr>
          <w:rFonts w:ascii="Arial" w:hAnsi="Arial" w:cs="Arial"/>
        </w:rPr>
        <w:br w:type="page"/>
      </w:r>
    </w:p>
    <w:p w:rsidR="00C2101F" w:rsidP="00600D40" w:rsidRDefault="00C2101F" w14:paraId="2917B256" w14:textId="77777777">
      <w:pPr>
        <w:pStyle w:val="Heading5"/>
        <w:numPr>
          <w:ilvl w:val="0"/>
          <w:numId w:val="6"/>
        </w:numPr>
        <w:ind w:left="284" w:hanging="284"/>
        <w:rPr>
          <w:rFonts w:ascii="Arial" w:hAnsi="Arial" w:cs="Arial"/>
          <w:b/>
          <w:color w:val="auto"/>
        </w:rPr>
      </w:pPr>
      <w:r w:rsidRPr="00B501A7">
        <w:rPr>
          <w:rFonts w:ascii="Arial" w:hAnsi="Arial" w:cs="Arial"/>
          <w:b/>
          <w:color w:val="auto"/>
        </w:rPr>
        <w:lastRenderedPageBreak/>
        <w:t>INTRODUCTION</w:t>
      </w:r>
    </w:p>
    <w:p w:rsidRPr="00B501A7" w:rsidR="00C2101F" w:rsidP="00C2101F" w:rsidRDefault="00C2101F" w14:paraId="0D2149A3" w14:textId="77777777">
      <w:pPr>
        <w:pStyle w:val="Heading5"/>
        <w:rPr>
          <w:rFonts w:ascii="Arial" w:hAnsi="Arial" w:cs="Arial"/>
          <w:color w:val="auto"/>
        </w:rPr>
      </w:pPr>
      <w:r w:rsidRPr="00B501A7">
        <w:rPr>
          <w:rFonts w:ascii="Arial" w:hAnsi="Arial" w:cs="Arial"/>
          <w:color w:val="auto"/>
        </w:rPr>
        <w:t xml:space="preserve">The Council takes its responsibility to protect public funds seriously and expects its business to be conducted to the highest ethical and legal standards. The Council has a zero tolerance to fraud, </w:t>
      </w:r>
      <w:r w:rsidRPr="00B501A7" w:rsidR="00A11FEA">
        <w:rPr>
          <w:rFonts w:ascii="Arial" w:hAnsi="Arial" w:cs="Arial"/>
          <w:color w:val="auto"/>
        </w:rPr>
        <w:t>theft,</w:t>
      </w:r>
      <w:r w:rsidRPr="00B501A7">
        <w:rPr>
          <w:rFonts w:ascii="Arial" w:hAnsi="Arial" w:cs="Arial"/>
          <w:color w:val="auto"/>
        </w:rPr>
        <w:t xml:space="preserve"> and corruption. Where there is evidence of fraud, </w:t>
      </w:r>
      <w:r w:rsidRPr="00B501A7" w:rsidR="00A11FEA">
        <w:rPr>
          <w:rFonts w:ascii="Arial" w:hAnsi="Arial" w:cs="Arial"/>
          <w:color w:val="auto"/>
        </w:rPr>
        <w:t>theft,</w:t>
      </w:r>
      <w:r w:rsidRPr="00B501A7">
        <w:rPr>
          <w:rFonts w:ascii="Arial" w:hAnsi="Arial" w:cs="Arial"/>
          <w:color w:val="auto"/>
        </w:rPr>
        <w:t xml:space="preserve"> or corruption against the Council, those responsible, whether internal or external to the Council, will be held accountable for their actions using the full range of sanctions available. The use of sanctions is governed by this policy that sets out appropriate action to take.</w:t>
      </w:r>
    </w:p>
    <w:p w:rsidRPr="00B501A7" w:rsidR="007B05D4" w:rsidP="00C2101F" w:rsidRDefault="007B05D4" w14:paraId="5112B520" w14:textId="77777777">
      <w:pPr>
        <w:pStyle w:val="Heading5"/>
        <w:rPr>
          <w:rFonts w:ascii="Arial" w:hAnsi="Arial" w:cs="Arial"/>
          <w:color w:val="auto"/>
        </w:rPr>
      </w:pPr>
    </w:p>
    <w:p w:rsidRPr="00B501A7" w:rsidR="00C2101F" w:rsidP="00C2101F" w:rsidRDefault="00C2101F" w14:paraId="55BB6E55" w14:textId="77777777">
      <w:pPr>
        <w:pStyle w:val="Heading5"/>
        <w:rPr>
          <w:rFonts w:ascii="Arial" w:hAnsi="Arial" w:cs="Arial"/>
          <w:color w:val="auto"/>
        </w:rPr>
      </w:pPr>
      <w:r w:rsidRPr="00B501A7">
        <w:rPr>
          <w:rFonts w:ascii="Arial" w:hAnsi="Arial" w:cs="Arial"/>
          <w:color w:val="auto"/>
        </w:rPr>
        <w:t>This Policy forms part of the Council’s fraud</w:t>
      </w:r>
      <w:r w:rsidRPr="00B501A7" w:rsidR="00AE7691">
        <w:rPr>
          <w:rFonts w:ascii="Arial" w:hAnsi="Arial" w:cs="Arial"/>
          <w:color w:val="auto"/>
        </w:rPr>
        <w:t xml:space="preserve"> response plan </w:t>
      </w:r>
      <w:r w:rsidRPr="00B501A7">
        <w:rPr>
          <w:rFonts w:ascii="Arial" w:hAnsi="Arial" w:cs="Arial"/>
          <w:color w:val="auto"/>
        </w:rPr>
        <w:t>(it includes matters of fraud, bribery, corruption, misconduct) and its objectives are:</w:t>
      </w:r>
    </w:p>
    <w:p w:rsidRPr="00B501A7" w:rsidR="00C2101F" w:rsidP="00600D40" w:rsidRDefault="00C2101F" w14:paraId="12848754" w14:textId="77777777">
      <w:pPr>
        <w:pStyle w:val="Heading5"/>
        <w:numPr>
          <w:ilvl w:val="0"/>
          <w:numId w:val="11"/>
        </w:numPr>
        <w:rPr>
          <w:rFonts w:ascii="Arial" w:hAnsi="Arial" w:cs="Arial"/>
          <w:color w:val="auto"/>
        </w:rPr>
      </w:pPr>
      <w:r w:rsidRPr="00B501A7">
        <w:rPr>
          <w:rFonts w:ascii="Arial" w:hAnsi="Arial" w:cs="Arial"/>
          <w:color w:val="auto"/>
        </w:rPr>
        <w:t>To ensure sanctions are applied fairly and consistently;</w:t>
      </w:r>
    </w:p>
    <w:p w:rsidRPr="00B501A7" w:rsidR="00C2101F" w:rsidP="00600D40" w:rsidRDefault="00C2101F" w14:paraId="014849D5" w14:textId="77777777">
      <w:pPr>
        <w:pStyle w:val="Heading5"/>
        <w:numPr>
          <w:ilvl w:val="0"/>
          <w:numId w:val="11"/>
        </w:numPr>
        <w:rPr>
          <w:rFonts w:ascii="Arial" w:hAnsi="Arial" w:cs="Arial"/>
          <w:color w:val="auto"/>
        </w:rPr>
      </w:pPr>
      <w:r w:rsidRPr="00B501A7">
        <w:rPr>
          <w:rFonts w:ascii="Arial" w:hAnsi="Arial" w:cs="Arial"/>
          <w:color w:val="auto"/>
        </w:rPr>
        <w:t>To ensure sanctions are applied in an efficient and cost-effective way;</w:t>
      </w:r>
    </w:p>
    <w:p w:rsidRPr="00B501A7" w:rsidR="00C2101F" w:rsidP="00600D40" w:rsidRDefault="00C2101F" w14:paraId="4D451937" w14:textId="77777777">
      <w:pPr>
        <w:pStyle w:val="Heading5"/>
        <w:numPr>
          <w:ilvl w:val="0"/>
          <w:numId w:val="11"/>
        </w:numPr>
        <w:rPr>
          <w:rFonts w:ascii="Arial" w:hAnsi="Arial" w:cs="Arial"/>
          <w:color w:val="auto"/>
        </w:rPr>
      </w:pPr>
      <w:r w:rsidRPr="00B501A7">
        <w:rPr>
          <w:rFonts w:ascii="Arial" w:hAnsi="Arial" w:cs="Arial"/>
          <w:color w:val="auto"/>
        </w:rPr>
        <w:t>To set out the range of sanctions available;</w:t>
      </w:r>
    </w:p>
    <w:p w:rsidRPr="00B501A7" w:rsidR="00C2101F" w:rsidP="00600D40" w:rsidRDefault="00C2101F" w14:paraId="6EE52C98" w14:textId="77777777">
      <w:pPr>
        <w:pStyle w:val="Heading5"/>
        <w:numPr>
          <w:ilvl w:val="0"/>
          <w:numId w:val="11"/>
        </w:numPr>
        <w:rPr>
          <w:rFonts w:ascii="Arial" w:hAnsi="Arial" w:cs="Arial"/>
          <w:color w:val="auto"/>
        </w:rPr>
      </w:pPr>
      <w:r w:rsidRPr="00B501A7">
        <w:rPr>
          <w:rFonts w:ascii="Arial" w:hAnsi="Arial" w:cs="Arial"/>
          <w:color w:val="auto"/>
        </w:rPr>
        <w:t>To ensure the sanction decision making process is robust, transparent and fair</w:t>
      </w:r>
    </w:p>
    <w:p w:rsidRPr="00B501A7" w:rsidR="00C2101F" w:rsidP="00600D40" w:rsidRDefault="00C2101F" w14:paraId="68ECB1D0" w14:textId="77777777">
      <w:pPr>
        <w:pStyle w:val="ListParagraph"/>
        <w:numPr>
          <w:ilvl w:val="0"/>
          <w:numId w:val="11"/>
        </w:numPr>
        <w:spacing w:after="0" w:line="240" w:lineRule="auto"/>
        <w:jc w:val="both"/>
        <w:rPr>
          <w:rFonts w:ascii="Arial" w:hAnsi="Arial" w:cs="Arial"/>
        </w:rPr>
      </w:pPr>
      <w:r w:rsidRPr="00B501A7">
        <w:rPr>
          <w:rFonts w:ascii="Arial" w:hAnsi="Arial" w:cs="Arial"/>
        </w:rPr>
        <w:t>To make it clear that the Council will not tolerate fraud.</w:t>
      </w:r>
    </w:p>
    <w:p w:rsidRPr="00B501A7" w:rsidR="00C2101F" w:rsidP="00C2101F" w:rsidRDefault="00C2101F" w14:paraId="5B6E564C" w14:textId="77777777">
      <w:pPr>
        <w:pStyle w:val="ListParagraph"/>
        <w:jc w:val="both"/>
        <w:rPr>
          <w:rFonts w:ascii="Arial" w:hAnsi="Arial" w:cs="Arial"/>
        </w:rPr>
      </w:pPr>
    </w:p>
    <w:p w:rsidR="00C2101F" w:rsidP="00C2101F" w:rsidRDefault="00C2101F" w14:paraId="32F1845E" w14:textId="77777777">
      <w:pPr>
        <w:pStyle w:val="ListParagraph"/>
        <w:ind w:left="0"/>
        <w:jc w:val="both"/>
        <w:rPr>
          <w:rFonts w:ascii="Arial" w:hAnsi="Arial" w:cs="Arial"/>
        </w:rPr>
      </w:pPr>
      <w:r w:rsidRPr="00B501A7">
        <w:rPr>
          <w:rFonts w:ascii="Arial" w:hAnsi="Arial" w:cs="Arial"/>
        </w:rPr>
        <w:t xml:space="preserve">The Council will investigate allegations of fraud, theft, corruption or irregularity in line with the Council’s </w:t>
      </w:r>
      <w:r w:rsidRPr="00B501A7" w:rsidR="00E51F6D">
        <w:rPr>
          <w:rFonts w:ascii="Arial" w:hAnsi="Arial" w:cs="Arial"/>
        </w:rPr>
        <w:t>anti-</w:t>
      </w:r>
      <w:r w:rsidRPr="00B501A7" w:rsidR="002A6387">
        <w:rPr>
          <w:rFonts w:ascii="Arial" w:hAnsi="Arial" w:cs="Arial"/>
        </w:rPr>
        <w:t>f</w:t>
      </w:r>
      <w:r w:rsidRPr="00B501A7">
        <w:rPr>
          <w:rFonts w:ascii="Arial" w:hAnsi="Arial" w:cs="Arial"/>
        </w:rPr>
        <w:t xml:space="preserve">raud </w:t>
      </w:r>
      <w:r w:rsidRPr="00B501A7" w:rsidR="002A6387">
        <w:rPr>
          <w:rFonts w:ascii="Arial" w:hAnsi="Arial" w:cs="Arial"/>
        </w:rPr>
        <w:t>p</w:t>
      </w:r>
      <w:r w:rsidRPr="00B501A7">
        <w:rPr>
          <w:rFonts w:ascii="Arial" w:hAnsi="Arial" w:cs="Arial"/>
        </w:rPr>
        <w:t>lan. Following an investigation, a range of factors will require consideration before deciding on appropriate sanction, including the individual circumstances of each case, the impact on the individual and the wider community, and the seriousness of the offence.</w:t>
      </w:r>
    </w:p>
    <w:p w:rsidRPr="00B501A7" w:rsidR="00B501A7" w:rsidP="00C2101F" w:rsidRDefault="00B501A7" w14:paraId="68D573E1" w14:textId="77777777">
      <w:pPr>
        <w:pStyle w:val="ListParagraph"/>
        <w:ind w:left="0"/>
        <w:jc w:val="both"/>
        <w:rPr>
          <w:rFonts w:ascii="Arial" w:hAnsi="Arial" w:cs="Arial"/>
        </w:rPr>
      </w:pPr>
    </w:p>
    <w:p w:rsidRPr="00B501A7" w:rsidR="00C2101F" w:rsidP="00600D40" w:rsidRDefault="00C2101F" w14:paraId="766FCD0E" w14:textId="77777777">
      <w:pPr>
        <w:pStyle w:val="Heading5"/>
        <w:numPr>
          <w:ilvl w:val="0"/>
          <w:numId w:val="7"/>
        </w:numPr>
        <w:ind w:left="284" w:hanging="284"/>
        <w:rPr>
          <w:rFonts w:ascii="Arial" w:hAnsi="Arial" w:cs="Arial"/>
          <w:b/>
          <w:bCs/>
          <w:color w:val="auto"/>
        </w:rPr>
      </w:pPr>
      <w:r w:rsidRPr="00B501A7">
        <w:rPr>
          <w:rFonts w:ascii="Arial" w:hAnsi="Arial" w:cs="Arial"/>
          <w:b/>
          <w:color w:val="auto"/>
        </w:rPr>
        <w:t>OPTIONS</w:t>
      </w:r>
    </w:p>
    <w:p w:rsidRPr="00B501A7" w:rsidR="00C2101F" w:rsidP="00C2101F" w:rsidRDefault="00C2101F" w14:paraId="3A1A9A28" w14:textId="77777777">
      <w:pPr>
        <w:pStyle w:val="Heading5"/>
        <w:rPr>
          <w:rFonts w:ascii="Arial" w:hAnsi="Arial" w:cs="Arial"/>
          <w:color w:val="auto"/>
        </w:rPr>
      </w:pPr>
      <w:r w:rsidRPr="00B501A7">
        <w:rPr>
          <w:rFonts w:ascii="Arial" w:hAnsi="Arial" w:cs="Arial"/>
          <w:color w:val="auto"/>
        </w:rPr>
        <w:t>Where there is evidence of fraud, theft or corruption, the following options will be considered:</w:t>
      </w:r>
    </w:p>
    <w:p w:rsidRPr="00B501A7" w:rsidR="00C2101F" w:rsidP="00600D40" w:rsidRDefault="00C2101F" w14:paraId="2998C4FA" w14:textId="710F63F8">
      <w:pPr>
        <w:pStyle w:val="Heading5"/>
        <w:numPr>
          <w:ilvl w:val="0"/>
          <w:numId w:val="12"/>
        </w:numPr>
        <w:rPr>
          <w:rFonts w:ascii="Arial" w:hAnsi="Arial" w:cs="Arial"/>
          <w:color w:val="auto"/>
        </w:rPr>
      </w:pPr>
      <w:r w:rsidRPr="00B501A7">
        <w:rPr>
          <w:rFonts w:ascii="Arial" w:hAnsi="Arial" w:cs="Arial"/>
          <w:color w:val="auto"/>
        </w:rPr>
        <w:t>No further action;</w:t>
      </w:r>
    </w:p>
    <w:p w:rsidRPr="00B501A7" w:rsidR="00C2101F" w:rsidP="00600D40" w:rsidRDefault="00C2101F" w14:paraId="64C9797E" w14:textId="24C6A88D">
      <w:pPr>
        <w:pStyle w:val="Heading5"/>
        <w:numPr>
          <w:ilvl w:val="0"/>
          <w:numId w:val="12"/>
        </w:numPr>
        <w:rPr>
          <w:rFonts w:ascii="Arial" w:hAnsi="Arial" w:cs="Arial"/>
          <w:color w:val="auto"/>
        </w:rPr>
      </w:pPr>
      <w:r w:rsidRPr="00B501A7">
        <w:rPr>
          <w:rFonts w:ascii="Arial" w:hAnsi="Arial" w:cs="Arial"/>
          <w:color w:val="auto"/>
        </w:rPr>
        <w:t>Referral to professional bodies;</w:t>
      </w:r>
    </w:p>
    <w:p w:rsidRPr="00B501A7" w:rsidR="00C2101F" w:rsidP="00600D40" w:rsidRDefault="00C2101F" w14:paraId="2046CC57" w14:textId="743CE0E4">
      <w:pPr>
        <w:pStyle w:val="Heading5"/>
        <w:numPr>
          <w:ilvl w:val="0"/>
          <w:numId w:val="12"/>
        </w:numPr>
        <w:rPr>
          <w:rFonts w:ascii="Arial" w:hAnsi="Arial" w:cs="Arial"/>
          <w:color w:val="auto"/>
        </w:rPr>
      </w:pPr>
      <w:r w:rsidRPr="00B501A7">
        <w:rPr>
          <w:rFonts w:ascii="Arial" w:hAnsi="Arial" w:cs="Arial"/>
          <w:color w:val="auto"/>
        </w:rPr>
        <w:t>Disciplinary action;</w:t>
      </w:r>
    </w:p>
    <w:p w:rsidRPr="00B501A7" w:rsidR="00C2101F" w:rsidP="00600D40" w:rsidRDefault="00C2101F" w14:paraId="5719D8DB" w14:textId="5E8C8975">
      <w:pPr>
        <w:pStyle w:val="Heading5"/>
        <w:numPr>
          <w:ilvl w:val="0"/>
          <w:numId w:val="12"/>
        </w:numPr>
        <w:rPr>
          <w:rFonts w:ascii="Arial" w:hAnsi="Arial" w:cs="Arial"/>
          <w:color w:val="auto"/>
        </w:rPr>
      </w:pPr>
      <w:r w:rsidRPr="00B501A7">
        <w:rPr>
          <w:rFonts w:ascii="Arial" w:hAnsi="Arial" w:cs="Arial"/>
          <w:color w:val="auto"/>
        </w:rPr>
        <w:t>Civil proceedings;</w:t>
      </w:r>
    </w:p>
    <w:p w:rsidRPr="00B501A7" w:rsidR="00C2101F" w:rsidP="00600D40" w:rsidRDefault="00C2101F" w14:paraId="15A12CB1" w14:textId="50822671">
      <w:pPr>
        <w:pStyle w:val="Heading5"/>
        <w:numPr>
          <w:ilvl w:val="0"/>
          <w:numId w:val="12"/>
        </w:numPr>
        <w:rPr>
          <w:rFonts w:ascii="Arial" w:hAnsi="Arial" w:cs="Arial"/>
          <w:color w:val="auto"/>
        </w:rPr>
      </w:pPr>
      <w:r w:rsidRPr="00B501A7">
        <w:rPr>
          <w:rFonts w:ascii="Arial" w:hAnsi="Arial" w:cs="Arial"/>
          <w:color w:val="auto"/>
        </w:rPr>
        <w:t>Criminal prosecution;</w:t>
      </w:r>
    </w:p>
    <w:p w:rsidRPr="00A64209" w:rsidR="00C2101F" w:rsidP="00600D40" w:rsidRDefault="00C2101F" w14:paraId="633C41B0" w14:textId="2C09AE32">
      <w:pPr>
        <w:pStyle w:val="ListParagraph"/>
        <w:numPr>
          <w:ilvl w:val="0"/>
          <w:numId w:val="12"/>
        </w:numPr>
        <w:jc w:val="both"/>
        <w:rPr>
          <w:rFonts w:ascii="Arial" w:hAnsi="Arial" w:cs="Arial"/>
        </w:rPr>
      </w:pPr>
      <w:r w:rsidRPr="00A64209">
        <w:rPr>
          <w:rFonts w:ascii="Arial" w:hAnsi="Arial" w:cs="Arial"/>
        </w:rPr>
        <w:t>Sanctions as alternatives to prosecution.</w:t>
      </w:r>
    </w:p>
    <w:p w:rsidRPr="00B501A7" w:rsidR="00C2101F" w:rsidP="00B501A7" w:rsidRDefault="00C2101F" w14:paraId="19B0F068" w14:textId="77777777">
      <w:pPr>
        <w:spacing w:after="0"/>
        <w:jc w:val="both"/>
        <w:rPr>
          <w:rFonts w:ascii="Arial" w:hAnsi="Arial" w:cs="Arial"/>
        </w:rPr>
      </w:pPr>
    </w:p>
    <w:p w:rsidRPr="00B501A7" w:rsidR="00C2101F" w:rsidP="00B501A7" w:rsidRDefault="00C2101F" w14:paraId="340375BD" w14:textId="77777777">
      <w:pPr>
        <w:spacing w:after="0"/>
        <w:jc w:val="both"/>
        <w:rPr>
          <w:rFonts w:ascii="Arial" w:hAnsi="Arial" w:cs="Arial"/>
        </w:rPr>
      </w:pPr>
      <w:r w:rsidRPr="00B501A7">
        <w:rPr>
          <w:rFonts w:ascii="Arial" w:hAnsi="Arial" w:cs="Arial"/>
        </w:rPr>
        <w:t>The Council will consider any of the above options and parallel sanctions</w:t>
      </w:r>
      <w:r w:rsidRPr="00B501A7" w:rsidR="002A6387">
        <w:rPr>
          <w:rFonts w:ascii="Arial" w:hAnsi="Arial" w:cs="Arial"/>
        </w:rPr>
        <w:t xml:space="preserve"> as noted below</w:t>
      </w:r>
      <w:r w:rsidRPr="00B501A7">
        <w:rPr>
          <w:rFonts w:ascii="Arial" w:hAnsi="Arial" w:cs="Arial"/>
        </w:rPr>
        <w:t xml:space="preserve"> may be pursued.</w:t>
      </w:r>
    </w:p>
    <w:p w:rsidR="00B501A7" w:rsidP="00B501A7" w:rsidRDefault="00B501A7" w14:paraId="01B4D77E" w14:textId="77777777">
      <w:pPr>
        <w:spacing w:after="0"/>
        <w:jc w:val="both"/>
        <w:rPr>
          <w:rFonts w:ascii="Arial" w:hAnsi="Arial" w:cs="Arial"/>
          <w:b/>
          <w:bCs/>
        </w:rPr>
      </w:pPr>
    </w:p>
    <w:p w:rsidRPr="003340FD" w:rsidR="00C2101F" w:rsidP="00600D40" w:rsidRDefault="00C2101F" w14:paraId="40650AD5" w14:textId="59E35807">
      <w:pPr>
        <w:pStyle w:val="ListParagraph"/>
        <w:numPr>
          <w:ilvl w:val="0"/>
          <w:numId w:val="8"/>
        </w:numPr>
        <w:spacing w:after="0" w:line="276" w:lineRule="auto"/>
        <w:ind w:left="426" w:hanging="426"/>
        <w:jc w:val="both"/>
        <w:rPr>
          <w:rFonts w:ascii="Arial" w:hAnsi="Arial" w:cs="Arial"/>
          <w:b/>
          <w:bCs/>
        </w:rPr>
      </w:pPr>
      <w:r w:rsidRPr="003340FD">
        <w:rPr>
          <w:rFonts w:ascii="Arial" w:hAnsi="Arial" w:cs="Arial"/>
          <w:b/>
          <w:bCs/>
        </w:rPr>
        <w:t>No further action</w:t>
      </w:r>
    </w:p>
    <w:p w:rsidRPr="00B501A7" w:rsidR="00C2101F" w:rsidP="00A64209" w:rsidRDefault="00C2101F" w14:paraId="3EAC513D" w14:textId="77777777">
      <w:pPr>
        <w:spacing w:after="0" w:line="240" w:lineRule="auto"/>
        <w:jc w:val="both"/>
        <w:rPr>
          <w:rFonts w:ascii="Arial" w:hAnsi="Arial" w:cs="Arial"/>
        </w:rPr>
      </w:pPr>
      <w:r w:rsidRPr="00B501A7">
        <w:rPr>
          <w:rFonts w:ascii="Arial" w:hAnsi="Arial" w:cs="Arial"/>
        </w:rPr>
        <w:t>The Council may consider, following an investigation, closing a case without taking any further action. This may occur where there is no evidence of fraud or misconduct, or where it is not in the public interest to take action.</w:t>
      </w:r>
    </w:p>
    <w:p w:rsidRPr="00B501A7" w:rsidR="00C2101F" w:rsidP="00B501A7" w:rsidRDefault="00C2101F" w14:paraId="73B56680" w14:textId="77777777">
      <w:pPr>
        <w:spacing w:after="0"/>
        <w:jc w:val="both"/>
        <w:rPr>
          <w:rFonts w:ascii="Arial" w:hAnsi="Arial" w:cs="Arial"/>
        </w:rPr>
      </w:pPr>
    </w:p>
    <w:p w:rsidRPr="003340FD" w:rsidR="00C2101F" w:rsidP="00600D40" w:rsidRDefault="00C2101F" w14:paraId="112A386F" w14:textId="77777777">
      <w:pPr>
        <w:pStyle w:val="ListParagraph"/>
        <w:numPr>
          <w:ilvl w:val="0"/>
          <w:numId w:val="8"/>
        </w:numPr>
        <w:spacing w:after="0" w:line="276" w:lineRule="auto"/>
        <w:ind w:left="426" w:hanging="426"/>
        <w:jc w:val="both"/>
        <w:rPr>
          <w:rFonts w:ascii="Arial" w:hAnsi="Arial" w:cs="Arial"/>
          <w:b/>
          <w:bCs/>
        </w:rPr>
      </w:pPr>
      <w:r w:rsidRPr="003340FD">
        <w:rPr>
          <w:rFonts w:ascii="Arial" w:hAnsi="Arial" w:cs="Arial"/>
          <w:b/>
          <w:bCs/>
        </w:rPr>
        <w:t xml:space="preserve">Referral to professional bodies. </w:t>
      </w:r>
    </w:p>
    <w:p w:rsidRPr="00B501A7" w:rsidR="00C2101F" w:rsidP="00A64209" w:rsidRDefault="00C2101F" w14:paraId="3F73462D" w14:textId="77777777">
      <w:pPr>
        <w:spacing w:after="0" w:line="240" w:lineRule="auto"/>
        <w:jc w:val="both"/>
        <w:rPr>
          <w:rFonts w:ascii="Arial" w:hAnsi="Arial" w:cs="Arial"/>
        </w:rPr>
      </w:pPr>
      <w:r w:rsidRPr="00B501A7">
        <w:rPr>
          <w:rFonts w:ascii="Arial" w:hAnsi="Arial" w:cs="Arial"/>
        </w:rPr>
        <w:t>Where there is adequate evidence that a person or entity has breached professional duties or responsibilities, the Council will refer the matter to the relevant professional body.</w:t>
      </w:r>
    </w:p>
    <w:p w:rsidRPr="00B501A7" w:rsidR="00C2101F" w:rsidP="00B501A7" w:rsidRDefault="00C2101F" w14:paraId="44580357" w14:textId="77777777">
      <w:pPr>
        <w:spacing w:after="0"/>
        <w:jc w:val="both"/>
        <w:rPr>
          <w:rFonts w:ascii="Arial" w:hAnsi="Arial" w:cs="Arial"/>
        </w:rPr>
      </w:pPr>
    </w:p>
    <w:p w:rsidRPr="003340FD" w:rsidR="00C2101F" w:rsidP="00600D40" w:rsidRDefault="00C2101F" w14:paraId="7F84F605" w14:textId="77777777">
      <w:pPr>
        <w:pStyle w:val="ListParagraph"/>
        <w:numPr>
          <w:ilvl w:val="0"/>
          <w:numId w:val="8"/>
        </w:numPr>
        <w:spacing w:after="0" w:line="276" w:lineRule="auto"/>
        <w:ind w:left="426" w:hanging="426"/>
        <w:jc w:val="both"/>
        <w:rPr>
          <w:rFonts w:ascii="Arial" w:hAnsi="Arial" w:cs="Arial"/>
          <w:b/>
          <w:bCs/>
        </w:rPr>
      </w:pPr>
      <w:r w:rsidRPr="003340FD">
        <w:rPr>
          <w:rFonts w:ascii="Arial" w:hAnsi="Arial" w:cs="Arial"/>
          <w:b/>
          <w:bCs/>
        </w:rPr>
        <w:t>Disciplinary Action</w:t>
      </w:r>
    </w:p>
    <w:p w:rsidRPr="00B501A7" w:rsidR="00C2101F" w:rsidP="00A64209" w:rsidRDefault="00C2101F" w14:paraId="4CF6F2E8" w14:textId="77777777">
      <w:pPr>
        <w:spacing w:after="0" w:line="240" w:lineRule="auto"/>
        <w:jc w:val="both"/>
        <w:rPr>
          <w:rFonts w:ascii="Arial" w:hAnsi="Arial" w:cs="Arial"/>
        </w:rPr>
      </w:pPr>
      <w:r w:rsidRPr="00B501A7">
        <w:rPr>
          <w:rFonts w:ascii="Arial" w:hAnsi="Arial" w:cs="Arial"/>
        </w:rPr>
        <w:t xml:space="preserve">In the event that an allegation is made against a Council employee, The Shared Anti-Fraud Service (SAFS) will consult with the Council’s Human Resources Service and appropriate action will be taken following the Disciplinary Policy. </w:t>
      </w:r>
    </w:p>
    <w:p w:rsidRPr="00B501A7" w:rsidR="00C2101F" w:rsidP="00B501A7" w:rsidRDefault="00C2101F" w14:paraId="38D193BC" w14:textId="77777777">
      <w:pPr>
        <w:spacing w:after="0"/>
        <w:jc w:val="both"/>
        <w:rPr>
          <w:rFonts w:ascii="Arial" w:hAnsi="Arial" w:cs="Arial"/>
        </w:rPr>
      </w:pPr>
    </w:p>
    <w:p w:rsidRPr="00B501A7" w:rsidR="00C2101F" w:rsidP="00B501A7" w:rsidRDefault="00C2101F" w14:paraId="5B1D6AE3" w14:textId="77777777">
      <w:pPr>
        <w:spacing w:after="0"/>
        <w:jc w:val="both"/>
        <w:rPr>
          <w:rFonts w:ascii="Arial" w:hAnsi="Arial" w:cs="Arial"/>
        </w:rPr>
      </w:pPr>
      <w:r w:rsidRPr="00B501A7">
        <w:rPr>
          <w:rFonts w:ascii="Arial" w:hAnsi="Arial" w:cs="Arial"/>
        </w:rPr>
        <w:t xml:space="preserve">The investigating officer may be a member of Internal Audit &amp; Counter Fraud Services or may be appointed through the HR Disciplinary process.  Sanctions may include warnings or dismissal and alongside this, additional sanction options will be considered including referral to professional bodies, civil </w:t>
      </w:r>
      <w:r w:rsidRPr="00B501A7" w:rsidR="00A11FEA">
        <w:rPr>
          <w:rFonts w:ascii="Arial" w:hAnsi="Arial" w:cs="Arial"/>
        </w:rPr>
        <w:t>proceedings,</w:t>
      </w:r>
      <w:r w:rsidRPr="00B501A7">
        <w:rPr>
          <w:rFonts w:ascii="Arial" w:hAnsi="Arial" w:cs="Arial"/>
        </w:rPr>
        <w:t xml:space="preserve"> and criminal prosecutions. </w:t>
      </w:r>
    </w:p>
    <w:p w:rsidRPr="00B501A7" w:rsidR="00C2101F" w:rsidP="00B501A7" w:rsidRDefault="00C2101F" w14:paraId="129A6D45" w14:textId="77777777">
      <w:pPr>
        <w:spacing w:after="0"/>
        <w:jc w:val="both"/>
        <w:rPr>
          <w:rFonts w:ascii="Arial" w:hAnsi="Arial" w:cs="Arial"/>
        </w:rPr>
      </w:pPr>
    </w:p>
    <w:p w:rsidRPr="00B501A7" w:rsidR="00C2101F" w:rsidP="00B501A7" w:rsidRDefault="00C2101F" w14:paraId="495EABA2" w14:textId="66800D3B">
      <w:pPr>
        <w:spacing w:after="0"/>
        <w:jc w:val="both"/>
        <w:rPr>
          <w:rFonts w:ascii="Arial" w:hAnsi="Arial" w:cs="Arial"/>
        </w:rPr>
      </w:pPr>
      <w:r w:rsidRPr="00B501A7">
        <w:rPr>
          <w:rFonts w:ascii="Arial" w:hAnsi="Arial" w:cs="Arial"/>
        </w:rPr>
        <w:t xml:space="preserve">If </w:t>
      </w:r>
      <w:r w:rsidRPr="00B501A7" w:rsidR="00A64209">
        <w:rPr>
          <w:rFonts w:ascii="Arial" w:hAnsi="Arial" w:cs="Arial"/>
        </w:rPr>
        <w:t>during</w:t>
      </w:r>
      <w:r w:rsidRPr="00B501A7">
        <w:rPr>
          <w:rFonts w:ascii="Arial" w:hAnsi="Arial" w:cs="Arial"/>
        </w:rPr>
        <w:t xml:space="preserve"> an investigation or disciplinary action, the employee suspected of fraud, theft or corruption chooses to resign, the Council will continue to pursue referral to professional bodies, civil proceedings or criminal prosecution where appropriate. </w:t>
      </w:r>
    </w:p>
    <w:p w:rsidRPr="00B501A7" w:rsidR="00C2101F" w:rsidP="00B501A7" w:rsidRDefault="00C2101F" w14:paraId="4FEB4F33" w14:textId="77777777">
      <w:pPr>
        <w:spacing w:after="0"/>
        <w:jc w:val="both"/>
        <w:rPr>
          <w:rFonts w:ascii="Arial" w:hAnsi="Arial" w:cs="Arial"/>
        </w:rPr>
      </w:pPr>
    </w:p>
    <w:p w:rsidRPr="00B501A7" w:rsidR="00C2101F" w:rsidP="00B501A7" w:rsidRDefault="00C2101F" w14:paraId="114A4035" w14:textId="2E48FFF1">
      <w:pPr>
        <w:spacing w:after="0"/>
        <w:jc w:val="both"/>
        <w:rPr>
          <w:rFonts w:ascii="Arial" w:hAnsi="Arial" w:cs="Arial"/>
        </w:rPr>
      </w:pPr>
      <w:r w:rsidRPr="00B501A7">
        <w:rPr>
          <w:rFonts w:ascii="Arial" w:hAnsi="Arial" w:cs="Arial"/>
        </w:rPr>
        <w:t>In the event of an allegation against a Councillor in relation to fraud, theft or corruption against the Council, this will be reported to the Monitoring Officer, who will agree the action to be taken with the</w:t>
      </w:r>
      <w:r w:rsidRPr="00B501A7" w:rsidR="002A6387">
        <w:rPr>
          <w:rFonts w:ascii="Arial" w:hAnsi="Arial" w:cs="Arial"/>
        </w:rPr>
        <w:t xml:space="preserve"> </w:t>
      </w:r>
      <w:r w:rsidRPr="00B501A7" w:rsidR="00753AF2">
        <w:rPr>
          <w:rFonts w:ascii="Arial" w:hAnsi="Arial" w:cs="Arial"/>
        </w:rPr>
        <w:t>Chief Executive</w:t>
      </w:r>
      <w:r w:rsidRPr="00B501A7">
        <w:rPr>
          <w:rFonts w:ascii="Arial" w:hAnsi="Arial" w:cs="Arial"/>
        </w:rPr>
        <w:t>. Depending on the circumstances of the case, criminal proceedings may also be considered.</w:t>
      </w:r>
    </w:p>
    <w:p w:rsidRPr="00B501A7" w:rsidR="00C2101F" w:rsidP="00B501A7" w:rsidRDefault="00C2101F" w14:paraId="688DDB36" w14:textId="77777777">
      <w:pPr>
        <w:spacing w:after="0"/>
        <w:jc w:val="both"/>
        <w:rPr>
          <w:rFonts w:ascii="Arial" w:hAnsi="Arial" w:cs="Arial"/>
        </w:rPr>
      </w:pPr>
    </w:p>
    <w:p w:rsidRPr="003340FD" w:rsidR="00C2101F" w:rsidP="00600D40" w:rsidRDefault="00C2101F" w14:paraId="251F9C08" w14:textId="77777777">
      <w:pPr>
        <w:pStyle w:val="ListParagraph"/>
        <w:numPr>
          <w:ilvl w:val="0"/>
          <w:numId w:val="8"/>
        </w:numPr>
        <w:spacing w:after="0" w:line="276" w:lineRule="auto"/>
        <w:ind w:left="426" w:hanging="426"/>
        <w:jc w:val="both"/>
        <w:rPr>
          <w:rFonts w:ascii="Arial" w:hAnsi="Arial" w:cs="Arial"/>
          <w:b/>
          <w:bCs/>
        </w:rPr>
      </w:pPr>
      <w:r w:rsidRPr="003340FD">
        <w:rPr>
          <w:rFonts w:ascii="Arial" w:hAnsi="Arial" w:cs="Arial"/>
          <w:b/>
          <w:bCs/>
        </w:rPr>
        <w:t>Civil Proceedings</w:t>
      </w:r>
    </w:p>
    <w:p w:rsidRPr="00B501A7" w:rsidR="00C2101F" w:rsidP="00A64209" w:rsidRDefault="00C2101F" w14:paraId="62EA0180" w14:textId="77777777">
      <w:pPr>
        <w:spacing w:after="0" w:line="240" w:lineRule="auto"/>
        <w:jc w:val="both"/>
        <w:rPr>
          <w:rFonts w:ascii="Arial" w:hAnsi="Arial" w:cs="Arial"/>
        </w:rPr>
      </w:pPr>
      <w:r w:rsidRPr="00B501A7">
        <w:rPr>
          <w:rFonts w:ascii="Arial" w:hAnsi="Arial" w:cs="Arial"/>
        </w:rPr>
        <w:t xml:space="preserve">The Council may take civil proceedings where appropriate.  Regardless of whether or not any sanction action is taken, the Council will seek, where appropriate, to recover any overpaid, misused or unfairly gained monies. </w:t>
      </w:r>
    </w:p>
    <w:p w:rsidRPr="00B501A7" w:rsidR="00C2101F" w:rsidP="00B501A7" w:rsidRDefault="00C2101F" w14:paraId="46487081" w14:textId="77777777">
      <w:pPr>
        <w:spacing w:after="0"/>
        <w:jc w:val="both"/>
        <w:rPr>
          <w:rFonts w:ascii="Arial" w:hAnsi="Arial" w:cs="Arial"/>
        </w:rPr>
      </w:pPr>
    </w:p>
    <w:p w:rsidRPr="00B501A7" w:rsidR="00C2101F" w:rsidP="00B501A7" w:rsidRDefault="00C2101F" w14:paraId="6410D902" w14:textId="77777777">
      <w:pPr>
        <w:spacing w:after="0"/>
        <w:jc w:val="both"/>
        <w:rPr>
          <w:rFonts w:ascii="Arial" w:hAnsi="Arial" w:cs="Arial"/>
        </w:rPr>
      </w:pPr>
      <w:r w:rsidRPr="00B501A7">
        <w:rPr>
          <w:rFonts w:ascii="Arial" w:hAnsi="Arial" w:cs="Arial"/>
        </w:rPr>
        <w:t>The following measures may be considered in the pursuit of financial recovery:</w:t>
      </w:r>
    </w:p>
    <w:p w:rsidRPr="00B501A7" w:rsidR="00C2101F" w:rsidP="00600D40" w:rsidRDefault="00C2101F" w14:paraId="4AE2DC83" w14:textId="77777777">
      <w:pPr>
        <w:pStyle w:val="ListParagraph"/>
        <w:numPr>
          <w:ilvl w:val="0"/>
          <w:numId w:val="1"/>
        </w:numPr>
        <w:spacing w:after="0" w:line="240" w:lineRule="auto"/>
        <w:jc w:val="both"/>
        <w:rPr>
          <w:rFonts w:ascii="Arial" w:hAnsi="Arial" w:cs="Arial"/>
        </w:rPr>
      </w:pPr>
      <w:r w:rsidRPr="00B501A7">
        <w:rPr>
          <w:rFonts w:ascii="Arial" w:hAnsi="Arial" w:cs="Arial"/>
        </w:rPr>
        <w:t xml:space="preserve">Consultation with the Council’s </w:t>
      </w:r>
      <w:r w:rsidRPr="00B501A7" w:rsidR="00FC5ACB">
        <w:rPr>
          <w:rFonts w:ascii="Arial" w:hAnsi="Arial" w:cs="Arial"/>
        </w:rPr>
        <w:t>Human Resources</w:t>
      </w:r>
      <w:r w:rsidRPr="00B501A7">
        <w:rPr>
          <w:rFonts w:ascii="Arial" w:hAnsi="Arial" w:cs="Arial"/>
        </w:rPr>
        <w:t xml:space="preserve"> Teams to redress financial loss caused by employees. The Council will attempt to recover the loss from the capital value of the individual’s accrued benefits in the Pension Scheme if they are a member, which are then reduced as advised by the actuary;</w:t>
      </w:r>
    </w:p>
    <w:p w:rsidRPr="00B501A7" w:rsidR="00C2101F" w:rsidP="00B501A7" w:rsidRDefault="00C2101F" w14:paraId="7C3265C7" w14:textId="77777777">
      <w:pPr>
        <w:pStyle w:val="ListParagraph"/>
        <w:spacing w:after="0"/>
        <w:jc w:val="both"/>
        <w:rPr>
          <w:rFonts w:ascii="Arial" w:hAnsi="Arial" w:cs="Arial"/>
        </w:rPr>
      </w:pPr>
    </w:p>
    <w:p w:rsidRPr="00B501A7" w:rsidR="00C2101F" w:rsidP="00600D40" w:rsidRDefault="00C2101F" w14:paraId="34777B7B" w14:textId="77777777">
      <w:pPr>
        <w:pStyle w:val="ListParagraph"/>
        <w:numPr>
          <w:ilvl w:val="0"/>
          <w:numId w:val="1"/>
        </w:numPr>
        <w:spacing w:after="0" w:line="240" w:lineRule="auto"/>
        <w:jc w:val="both"/>
        <w:rPr>
          <w:rFonts w:ascii="Arial" w:hAnsi="Arial" w:cs="Arial"/>
        </w:rPr>
      </w:pPr>
      <w:r w:rsidRPr="00B501A7">
        <w:rPr>
          <w:rFonts w:ascii="Arial" w:hAnsi="Arial" w:cs="Arial"/>
        </w:rPr>
        <w:t>Recovery of money through appropriate legal proceedings;</w:t>
      </w:r>
    </w:p>
    <w:p w:rsidRPr="00B501A7" w:rsidR="00C2101F" w:rsidP="00B501A7" w:rsidRDefault="00C2101F" w14:paraId="66C8DEA5" w14:textId="77777777">
      <w:pPr>
        <w:pStyle w:val="ListParagraph"/>
        <w:spacing w:after="0"/>
        <w:jc w:val="both"/>
        <w:rPr>
          <w:rFonts w:ascii="Arial" w:hAnsi="Arial" w:cs="Arial"/>
        </w:rPr>
      </w:pPr>
    </w:p>
    <w:p w:rsidRPr="00B501A7" w:rsidR="00C2101F" w:rsidP="00600D40" w:rsidRDefault="00C2101F" w14:paraId="43124C4A" w14:textId="77777777">
      <w:pPr>
        <w:pStyle w:val="ListParagraph"/>
        <w:numPr>
          <w:ilvl w:val="0"/>
          <w:numId w:val="1"/>
        </w:numPr>
        <w:spacing w:after="0" w:line="240" w:lineRule="auto"/>
        <w:jc w:val="both"/>
        <w:rPr>
          <w:rFonts w:ascii="Arial" w:hAnsi="Arial" w:cs="Arial"/>
        </w:rPr>
      </w:pPr>
      <w:r w:rsidRPr="00B501A7">
        <w:rPr>
          <w:rFonts w:ascii="Arial" w:hAnsi="Arial" w:cs="Arial"/>
        </w:rPr>
        <w:t xml:space="preserve">Legal action such as freezing </w:t>
      </w:r>
      <w:r w:rsidRPr="00B501A7" w:rsidR="002A6387">
        <w:rPr>
          <w:rFonts w:ascii="Arial" w:hAnsi="Arial" w:cs="Arial"/>
        </w:rPr>
        <w:t xml:space="preserve">orders </w:t>
      </w:r>
      <w:r w:rsidRPr="00B501A7">
        <w:rPr>
          <w:rFonts w:ascii="Arial" w:hAnsi="Arial" w:cs="Arial"/>
        </w:rPr>
        <w:t>/ restraint orders to preserve evidence and assets.</w:t>
      </w:r>
    </w:p>
    <w:p w:rsidRPr="00B501A7" w:rsidR="00C2101F" w:rsidP="00B501A7" w:rsidRDefault="00C2101F" w14:paraId="30057F63" w14:textId="77777777">
      <w:pPr>
        <w:pStyle w:val="ListParagraph"/>
        <w:spacing w:after="0"/>
        <w:jc w:val="both"/>
        <w:rPr>
          <w:rFonts w:ascii="Arial" w:hAnsi="Arial" w:cs="Arial"/>
        </w:rPr>
      </w:pPr>
    </w:p>
    <w:p w:rsidRPr="00B501A7" w:rsidR="00C2101F" w:rsidP="00B501A7" w:rsidRDefault="00C2101F" w14:paraId="5DF4BDE6" w14:textId="77777777">
      <w:pPr>
        <w:spacing w:after="0"/>
        <w:jc w:val="both"/>
        <w:rPr>
          <w:rFonts w:ascii="Arial" w:hAnsi="Arial" w:cs="Arial"/>
        </w:rPr>
      </w:pPr>
      <w:r w:rsidRPr="00B501A7">
        <w:rPr>
          <w:rFonts w:ascii="Arial" w:hAnsi="Arial" w:cs="Arial"/>
        </w:rPr>
        <w:t>There will be overpayments which are not due to fraud, and the Council will determine appropriate recovery in these cases.</w:t>
      </w:r>
    </w:p>
    <w:p w:rsidRPr="00B501A7" w:rsidR="00C2101F" w:rsidP="00B501A7" w:rsidRDefault="00C2101F" w14:paraId="1125FE98" w14:textId="77777777">
      <w:pPr>
        <w:spacing w:after="0"/>
        <w:jc w:val="both"/>
        <w:rPr>
          <w:rFonts w:ascii="Arial" w:hAnsi="Arial" w:cs="Arial"/>
        </w:rPr>
      </w:pPr>
    </w:p>
    <w:p w:rsidRPr="003340FD" w:rsidR="00C2101F" w:rsidP="00600D40" w:rsidRDefault="00C2101F" w14:paraId="79A4BF1E" w14:textId="0BE2181F">
      <w:pPr>
        <w:pStyle w:val="ListParagraph"/>
        <w:numPr>
          <w:ilvl w:val="0"/>
          <w:numId w:val="8"/>
        </w:numPr>
        <w:spacing w:after="0" w:line="276" w:lineRule="auto"/>
        <w:ind w:left="426" w:hanging="426"/>
        <w:jc w:val="both"/>
        <w:rPr>
          <w:rFonts w:ascii="Arial" w:hAnsi="Arial" w:cs="Arial"/>
          <w:b/>
          <w:bCs/>
        </w:rPr>
      </w:pPr>
      <w:r w:rsidRPr="003340FD">
        <w:rPr>
          <w:rFonts w:ascii="Arial" w:hAnsi="Arial" w:cs="Arial"/>
          <w:b/>
          <w:bCs/>
        </w:rPr>
        <w:t>Criminal Prosecution</w:t>
      </w:r>
    </w:p>
    <w:p w:rsidRPr="00B501A7" w:rsidR="00C2101F" w:rsidP="00A64209" w:rsidRDefault="00C2101F" w14:paraId="2D7A9301" w14:textId="77777777">
      <w:pPr>
        <w:spacing w:after="0" w:line="240" w:lineRule="auto"/>
        <w:jc w:val="both"/>
        <w:rPr>
          <w:rFonts w:ascii="Arial" w:hAnsi="Arial" w:cs="Arial"/>
        </w:rPr>
      </w:pPr>
      <w:r w:rsidRPr="00B501A7">
        <w:rPr>
          <w:rFonts w:ascii="Arial" w:hAnsi="Arial" w:cs="Arial"/>
        </w:rPr>
        <w:t>Where the Council considers it ‘expedient for the promotion or protection of the interests of the inhabitants of their area’, Section 222 of the Local Government Act 1972 empowers the Council to prosecute or appear in legal proceedings and, in the case of civil proceedings, institute them in their own name.</w:t>
      </w:r>
    </w:p>
    <w:p w:rsidRPr="00B501A7" w:rsidR="00C2101F" w:rsidP="00B501A7" w:rsidRDefault="00C2101F" w14:paraId="52665AB0" w14:textId="77777777">
      <w:pPr>
        <w:spacing w:after="0"/>
        <w:jc w:val="both"/>
        <w:rPr>
          <w:rFonts w:ascii="Arial" w:hAnsi="Arial" w:cs="Arial"/>
        </w:rPr>
      </w:pPr>
    </w:p>
    <w:p w:rsidRPr="00B501A7" w:rsidR="00C2101F" w:rsidP="00B501A7" w:rsidRDefault="00C2101F" w14:paraId="3BB1FD29" w14:textId="77777777">
      <w:pPr>
        <w:spacing w:after="0"/>
        <w:jc w:val="both"/>
        <w:rPr>
          <w:rFonts w:ascii="Arial" w:hAnsi="Arial" w:cs="Arial"/>
        </w:rPr>
      </w:pPr>
      <w:r w:rsidRPr="00B501A7">
        <w:rPr>
          <w:rFonts w:ascii="Arial" w:hAnsi="Arial" w:cs="Arial"/>
        </w:rPr>
        <w:t>Furthermore, Section 223 of the Local Government Act 1972 allows a ‘Local Authority to authorise any member if its staff to prosecute or defend designated matters in magistrates’ court’.</w:t>
      </w:r>
    </w:p>
    <w:p w:rsidRPr="00B501A7" w:rsidR="00C2101F" w:rsidP="00B501A7" w:rsidRDefault="00C2101F" w14:paraId="3649E4F6" w14:textId="77777777">
      <w:pPr>
        <w:spacing w:after="0"/>
        <w:jc w:val="both"/>
        <w:rPr>
          <w:rFonts w:ascii="Arial" w:hAnsi="Arial" w:cs="Arial"/>
        </w:rPr>
      </w:pPr>
    </w:p>
    <w:p w:rsidRPr="00B501A7" w:rsidR="00C2101F" w:rsidP="00B501A7" w:rsidRDefault="00C2101F" w14:paraId="4BE18DC1" w14:textId="77777777">
      <w:pPr>
        <w:spacing w:after="0"/>
        <w:jc w:val="both"/>
        <w:rPr>
          <w:rFonts w:ascii="Arial" w:hAnsi="Arial" w:cs="Arial"/>
        </w:rPr>
      </w:pPr>
      <w:r w:rsidRPr="00B501A7">
        <w:rPr>
          <w:rFonts w:ascii="Arial" w:hAnsi="Arial" w:cs="Arial"/>
        </w:rPr>
        <w:t xml:space="preserve">In the most serious of cases, the Council will consider the prosecution of those offenders suspected to have committed fraud or theft. Where the Council considers there is sufficient evidence (based on the Code for Crown Prosecutors) to indicate a criminal act has taken place, a decision will be made whether to undertake a criminal prosecution utilising the Council’s Legal Services (or contracted legal representatives) the police </w:t>
      </w:r>
      <w:r w:rsidRPr="00B501A7" w:rsidR="002A6387">
        <w:rPr>
          <w:rFonts w:ascii="Arial" w:hAnsi="Arial" w:cs="Arial"/>
        </w:rPr>
        <w:t xml:space="preserve">or </w:t>
      </w:r>
      <w:r w:rsidRPr="00B501A7">
        <w:rPr>
          <w:rFonts w:ascii="Arial" w:hAnsi="Arial" w:cs="Arial"/>
        </w:rPr>
        <w:t xml:space="preserve">another law enforcement partner (such as DWP or HMRC). This decision will be made by the Head of SAFS, the </w:t>
      </w:r>
      <w:r w:rsidRPr="00B501A7" w:rsidR="002A6387">
        <w:rPr>
          <w:rFonts w:ascii="Arial" w:hAnsi="Arial" w:cs="Arial"/>
        </w:rPr>
        <w:t>Director: Legal and Community</w:t>
      </w:r>
      <w:r w:rsidRPr="00B501A7">
        <w:rPr>
          <w:rFonts w:ascii="Arial" w:hAnsi="Arial" w:cs="Arial"/>
        </w:rPr>
        <w:t>, and the relevant Director/Head of Service (or delegated appropriately).</w:t>
      </w:r>
    </w:p>
    <w:p w:rsidRPr="00B501A7" w:rsidR="00C2101F" w:rsidP="00B501A7" w:rsidRDefault="00C2101F" w14:paraId="2707FD88" w14:textId="77777777">
      <w:pPr>
        <w:spacing w:after="0"/>
        <w:jc w:val="both"/>
        <w:rPr>
          <w:rFonts w:ascii="Arial" w:hAnsi="Arial" w:cs="Arial"/>
        </w:rPr>
      </w:pPr>
    </w:p>
    <w:p w:rsidRPr="00B501A7" w:rsidR="00C2101F" w:rsidP="00B501A7" w:rsidRDefault="00C2101F" w14:paraId="78960AC4" w14:textId="77777777">
      <w:pPr>
        <w:spacing w:after="0"/>
        <w:jc w:val="both"/>
        <w:rPr>
          <w:rFonts w:ascii="Arial" w:hAnsi="Arial" w:cs="Arial"/>
        </w:rPr>
      </w:pPr>
      <w:r w:rsidRPr="00B501A7">
        <w:rPr>
          <w:rFonts w:ascii="Arial" w:hAnsi="Arial" w:cs="Arial"/>
        </w:rPr>
        <w:t xml:space="preserve">Before a decision is taken whether or not to prosecute, the Council will be guided by the Code for Crown Prosecutors and will only initiate legal action if, following legal advice, it has satisfied the following two tests: </w:t>
      </w:r>
    </w:p>
    <w:p w:rsidRPr="00B501A7" w:rsidR="00C2101F" w:rsidP="00B501A7" w:rsidRDefault="00C2101F" w14:paraId="2F280288" w14:textId="77777777">
      <w:pPr>
        <w:spacing w:after="0"/>
        <w:jc w:val="both"/>
        <w:rPr>
          <w:rFonts w:ascii="Arial" w:hAnsi="Arial" w:cs="Arial"/>
        </w:rPr>
      </w:pPr>
    </w:p>
    <w:p w:rsidRPr="00B501A7" w:rsidR="00C2101F" w:rsidP="00600D40" w:rsidRDefault="00C2101F" w14:paraId="2CF5E2AA" w14:textId="77777777">
      <w:pPr>
        <w:pStyle w:val="ListParagraph"/>
        <w:numPr>
          <w:ilvl w:val="0"/>
          <w:numId w:val="5"/>
        </w:numPr>
        <w:spacing w:after="0" w:line="240" w:lineRule="auto"/>
        <w:ind w:left="284"/>
        <w:jc w:val="both"/>
        <w:rPr>
          <w:rFonts w:ascii="Arial" w:hAnsi="Arial" w:cs="Arial"/>
        </w:rPr>
      </w:pPr>
      <w:r w:rsidRPr="00B501A7">
        <w:rPr>
          <w:rFonts w:ascii="Arial" w:hAnsi="Arial" w:cs="Arial"/>
        </w:rPr>
        <w:t>Evidential Test – the evidence must be:</w:t>
      </w:r>
    </w:p>
    <w:p w:rsidRPr="00B501A7" w:rsidR="00C2101F" w:rsidP="00600D40" w:rsidRDefault="00C2101F" w14:paraId="19CC0975" w14:textId="77777777">
      <w:pPr>
        <w:pStyle w:val="ListParagraph"/>
        <w:numPr>
          <w:ilvl w:val="0"/>
          <w:numId w:val="2"/>
        </w:numPr>
        <w:spacing w:after="0" w:line="360" w:lineRule="auto"/>
        <w:jc w:val="both"/>
        <w:rPr>
          <w:rFonts w:ascii="Arial" w:hAnsi="Arial" w:cs="Arial"/>
        </w:rPr>
      </w:pPr>
      <w:r w:rsidRPr="00B501A7">
        <w:rPr>
          <w:rFonts w:ascii="Arial" w:hAnsi="Arial" w:cs="Arial"/>
        </w:rPr>
        <w:t xml:space="preserve">Clear, </w:t>
      </w:r>
      <w:r w:rsidRPr="00B501A7" w:rsidR="00A11FEA">
        <w:rPr>
          <w:rFonts w:ascii="Arial" w:hAnsi="Arial" w:cs="Arial"/>
        </w:rPr>
        <w:t>reliable,</w:t>
      </w:r>
      <w:r w:rsidRPr="00B501A7">
        <w:rPr>
          <w:rFonts w:ascii="Arial" w:hAnsi="Arial" w:cs="Arial"/>
        </w:rPr>
        <w:t xml:space="preserve"> and admissible in court; and </w:t>
      </w:r>
    </w:p>
    <w:p w:rsidR="00C2101F" w:rsidP="00600D40" w:rsidRDefault="00C2101F" w14:paraId="0E601C7F" w14:textId="77777777">
      <w:pPr>
        <w:pStyle w:val="ListParagraph"/>
        <w:numPr>
          <w:ilvl w:val="0"/>
          <w:numId w:val="2"/>
        </w:numPr>
        <w:spacing w:after="0" w:line="240" w:lineRule="auto"/>
        <w:jc w:val="both"/>
        <w:rPr>
          <w:rFonts w:ascii="Arial" w:hAnsi="Arial" w:cs="Arial"/>
        </w:rPr>
      </w:pPr>
      <w:r w:rsidRPr="00B501A7">
        <w:rPr>
          <w:rFonts w:ascii="Arial" w:hAnsi="Arial" w:cs="Arial"/>
        </w:rPr>
        <w:t>Strong enough for a realistic chance of prosecution. i.e. to prove a case ‘beyond reasonable doubt’.</w:t>
      </w:r>
    </w:p>
    <w:p w:rsidRPr="00B501A7" w:rsidR="00B501A7" w:rsidP="00B501A7" w:rsidRDefault="00B501A7" w14:paraId="0A01EBA8" w14:textId="77777777">
      <w:pPr>
        <w:pStyle w:val="ListParagraph"/>
        <w:spacing w:after="0"/>
        <w:rPr>
          <w:rFonts w:ascii="Arial" w:hAnsi="Arial" w:cs="Arial"/>
        </w:rPr>
      </w:pPr>
    </w:p>
    <w:p w:rsidRPr="00B501A7" w:rsidR="00C2101F" w:rsidP="00B501A7" w:rsidRDefault="00C2101F" w14:paraId="1831DD6D" w14:textId="77777777">
      <w:pPr>
        <w:pStyle w:val="Heading5"/>
        <w:rPr>
          <w:rFonts w:ascii="Arial" w:hAnsi="Arial" w:cs="Arial"/>
          <w:color w:val="auto"/>
        </w:rPr>
      </w:pPr>
      <w:r w:rsidRPr="00B501A7">
        <w:rPr>
          <w:rFonts w:ascii="Arial" w:hAnsi="Arial" w:cs="Arial"/>
          <w:color w:val="auto"/>
        </w:rPr>
        <w:t>2) Public Interest Test – the prosecution is in the public interest, taking into account:</w:t>
      </w:r>
    </w:p>
    <w:p w:rsidRPr="00B501A7" w:rsidR="00C2101F" w:rsidP="00600D40" w:rsidRDefault="00C2101F" w14:paraId="4C08554B" w14:textId="77777777">
      <w:pPr>
        <w:pStyle w:val="Heading5"/>
        <w:numPr>
          <w:ilvl w:val="0"/>
          <w:numId w:val="3"/>
        </w:numPr>
        <w:tabs>
          <w:tab w:val="num" w:pos="864"/>
        </w:tabs>
        <w:ind w:left="864" w:hanging="576"/>
        <w:rPr>
          <w:rFonts w:ascii="Arial" w:hAnsi="Arial" w:cs="Arial"/>
          <w:color w:val="auto"/>
        </w:rPr>
      </w:pPr>
      <w:r w:rsidRPr="00B501A7">
        <w:rPr>
          <w:rFonts w:ascii="Arial" w:hAnsi="Arial" w:cs="Arial"/>
          <w:color w:val="auto"/>
        </w:rPr>
        <w:t>Seriousness and / or monetary value of the offence;</w:t>
      </w:r>
    </w:p>
    <w:p w:rsidRPr="00B501A7" w:rsidR="00C2101F" w:rsidP="00600D40" w:rsidRDefault="00C2101F" w14:paraId="76BD0F03" w14:textId="77777777">
      <w:pPr>
        <w:pStyle w:val="Heading5"/>
        <w:numPr>
          <w:ilvl w:val="0"/>
          <w:numId w:val="3"/>
        </w:numPr>
        <w:tabs>
          <w:tab w:val="num" w:pos="864"/>
        </w:tabs>
        <w:ind w:left="864" w:hanging="576"/>
        <w:rPr>
          <w:rFonts w:ascii="Arial" w:hAnsi="Arial" w:cs="Arial"/>
          <w:color w:val="auto"/>
        </w:rPr>
      </w:pPr>
      <w:r w:rsidRPr="00B501A7">
        <w:rPr>
          <w:rFonts w:ascii="Arial" w:hAnsi="Arial" w:cs="Arial"/>
          <w:color w:val="auto"/>
        </w:rPr>
        <w:t>Cost and proportionality of the prosecution;</w:t>
      </w:r>
    </w:p>
    <w:p w:rsidRPr="00B501A7" w:rsidR="00C2101F" w:rsidP="00600D40" w:rsidRDefault="00C2101F" w14:paraId="4DF5CE17" w14:textId="77777777">
      <w:pPr>
        <w:pStyle w:val="Heading5"/>
        <w:numPr>
          <w:ilvl w:val="0"/>
          <w:numId w:val="3"/>
        </w:numPr>
        <w:tabs>
          <w:tab w:val="num" w:pos="864"/>
        </w:tabs>
        <w:ind w:left="864" w:hanging="576"/>
        <w:rPr>
          <w:rFonts w:ascii="Arial" w:hAnsi="Arial" w:cs="Arial"/>
          <w:color w:val="auto"/>
        </w:rPr>
      </w:pPr>
      <w:r w:rsidRPr="00B501A7">
        <w:rPr>
          <w:rFonts w:ascii="Arial" w:hAnsi="Arial" w:cs="Arial"/>
          <w:color w:val="auto"/>
        </w:rPr>
        <w:t>Age and health of the suspect;</w:t>
      </w:r>
    </w:p>
    <w:p w:rsidRPr="00B501A7" w:rsidR="00C2101F" w:rsidP="00600D40" w:rsidRDefault="00C2101F" w14:paraId="69F026B0" w14:textId="77777777">
      <w:pPr>
        <w:pStyle w:val="Heading5"/>
        <w:numPr>
          <w:ilvl w:val="0"/>
          <w:numId w:val="3"/>
        </w:numPr>
        <w:tabs>
          <w:tab w:val="num" w:pos="864"/>
        </w:tabs>
        <w:ind w:left="864" w:hanging="576"/>
        <w:rPr>
          <w:rFonts w:ascii="Arial" w:hAnsi="Arial" w:cs="Arial"/>
          <w:color w:val="auto"/>
        </w:rPr>
      </w:pPr>
      <w:r w:rsidRPr="00B501A7">
        <w:rPr>
          <w:rFonts w:ascii="Arial" w:hAnsi="Arial" w:cs="Arial"/>
          <w:color w:val="auto"/>
        </w:rPr>
        <w:t>Culpability of the suspect;</w:t>
      </w:r>
    </w:p>
    <w:p w:rsidRPr="00B501A7" w:rsidR="00C2101F" w:rsidP="00600D40" w:rsidRDefault="00C2101F" w14:paraId="3D092214" w14:textId="77777777">
      <w:pPr>
        <w:pStyle w:val="Heading5"/>
        <w:numPr>
          <w:ilvl w:val="0"/>
          <w:numId w:val="3"/>
        </w:numPr>
        <w:tabs>
          <w:tab w:val="num" w:pos="864"/>
        </w:tabs>
        <w:ind w:left="864" w:hanging="576"/>
        <w:rPr>
          <w:rFonts w:ascii="Arial" w:hAnsi="Arial" w:cs="Arial"/>
          <w:color w:val="auto"/>
        </w:rPr>
      </w:pPr>
      <w:r w:rsidRPr="00B501A7">
        <w:rPr>
          <w:rFonts w:ascii="Arial" w:hAnsi="Arial" w:cs="Arial"/>
          <w:color w:val="auto"/>
        </w:rPr>
        <w:t>Circumstances of and harm caused to the victim; and</w:t>
      </w:r>
    </w:p>
    <w:p w:rsidRPr="00B501A7" w:rsidR="00C2101F" w:rsidP="00600D40" w:rsidRDefault="00C2101F" w14:paraId="226D2193" w14:textId="77777777">
      <w:pPr>
        <w:pStyle w:val="Heading5"/>
        <w:numPr>
          <w:ilvl w:val="0"/>
          <w:numId w:val="3"/>
        </w:numPr>
        <w:tabs>
          <w:tab w:val="num" w:pos="864"/>
        </w:tabs>
        <w:ind w:left="864" w:hanging="576"/>
        <w:rPr>
          <w:rFonts w:ascii="Arial" w:hAnsi="Arial" w:cs="Arial"/>
          <w:color w:val="auto"/>
        </w:rPr>
      </w:pPr>
      <w:r w:rsidRPr="00B501A7">
        <w:rPr>
          <w:rFonts w:ascii="Arial" w:hAnsi="Arial" w:cs="Arial"/>
          <w:color w:val="auto"/>
        </w:rPr>
        <w:t>Impact on the community.</w:t>
      </w:r>
    </w:p>
    <w:p w:rsidRPr="00B501A7" w:rsidR="007B05D4" w:rsidP="00B501A7" w:rsidRDefault="007B05D4" w14:paraId="4FADC2BE" w14:textId="77777777">
      <w:pPr>
        <w:pStyle w:val="Heading5"/>
        <w:rPr>
          <w:rFonts w:ascii="Arial" w:hAnsi="Arial" w:cs="Arial"/>
          <w:color w:val="auto"/>
        </w:rPr>
      </w:pPr>
    </w:p>
    <w:p w:rsidRPr="00B501A7" w:rsidR="00C2101F" w:rsidP="00B501A7" w:rsidRDefault="00C2101F" w14:paraId="5814D1A8" w14:textId="77777777">
      <w:pPr>
        <w:pStyle w:val="Heading5"/>
        <w:rPr>
          <w:rFonts w:ascii="Arial" w:hAnsi="Arial" w:cs="Arial"/>
          <w:color w:val="auto"/>
        </w:rPr>
      </w:pPr>
      <w:r w:rsidRPr="00B501A7">
        <w:rPr>
          <w:rFonts w:ascii="Arial" w:hAnsi="Arial" w:cs="Arial"/>
          <w:color w:val="auto"/>
        </w:rPr>
        <w:t>Where a case has been referred to the Police to investigate, the final decision as to whether or not to pursue the case will be taken by the Police and the Crown Prosecution Service.</w:t>
      </w:r>
    </w:p>
    <w:p w:rsidRPr="00B501A7" w:rsidR="00C2101F" w:rsidP="00B501A7" w:rsidRDefault="00C2101F" w14:paraId="31BC03AE" w14:textId="77777777">
      <w:pPr>
        <w:pStyle w:val="Heading5"/>
        <w:rPr>
          <w:rFonts w:ascii="Arial" w:hAnsi="Arial" w:cs="Arial"/>
          <w:color w:val="auto"/>
        </w:rPr>
      </w:pPr>
      <w:r w:rsidRPr="00B501A7">
        <w:rPr>
          <w:rFonts w:ascii="Arial" w:hAnsi="Arial" w:cs="Arial"/>
          <w:color w:val="auto"/>
        </w:rPr>
        <w:t>The Council will conduct the investigations in accordance with the Criminal Procedure and Investigations Act 1996 and the Police and Criminal Evidence Act 1984</w:t>
      </w:r>
      <w:r w:rsidRPr="00B501A7" w:rsidR="002A6387">
        <w:rPr>
          <w:rFonts w:ascii="Arial" w:hAnsi="Arial" w:cs="Arial"/>
          <w:color w:val="auto"/>
        </w:rPr>
        <w:t xml:space="preserve"> (PACE)</w:t>
      </w:r>
      <w:r w:rsidRPr="00B501A7">
        <w:rPr>
          <w:rFonts w:ascii="Arial" w:hAnsi="Arial" w:cs="Arial"/>
          <w:color w:val="auto"/>
        </w:rPr>
        <w:t>.  Criminal proceedings may be brought for a suspected offence under the following legislation:</w:t>
      </w:r>
    </w:p>
    <w:p w:rsidRPr="00B501A7" w:rsidR="007B05D4" w:rsidP="00B501A7" w:rsidRDefault="007B05D4" w14:paraId="14E60866" w14:textId="77777777">
      <w:pPr>
        <w:spacing w:after="0"/>
        <w:rPr>
          <w:rFonts w:ascii="Arial" w:hAnsi="Arial" w:cs="Arial"/>
        </w:rPr>
      </w:pPr>
    </w:p>
    <w:p w:rsidRPr="00B501A7" w:rsidR="007B05D4" w:rsidP="00600D40" w:rsidRDefault="007B05D4" w14:paraId="57DCF0E4" w14:textId="77777777">
      <w:pPr>
        <w:pStyle w:val="ListParagraph"/>
        <w:numPr>
          <w:ilvl w:val="0"/>
          <w:numId w:val="4"/>
        </w:numPr>
        <w:spacing w:after="0" w:line="360" w:lineRule="auto"/>
        <w:jc w:val="both"/>
        <w:rPr>
          <w:rFonts w:ascii="Arial" w:hAnsi="Arial" w:cs="Arial"/>
        </w:rPr>
      </w:pPr>
      <w:r w:rsidRPr="00B501A7">
        <w:rPr>
          <w:rFonts w:ascii="Arial" w:hAnsi="Arial" w:cs="Arial"/>
        </w:rPr>
        <w:t>The Theft Act 1968 (as amended);</w:t>
      </w:r>
    </w:p>
    <w:p w:rsidRPr="00B501A7" w:rsidR="007B05D4" w:rsidP="00600D40" w:rsidRDefault="007B05D4" w14:paraId="23D6A39E" w14:textId="77777777">
      <w:pPr>
        <w:pStyle w:val="ListParagraph"/>
        <w:numPr>
          <w:ilvl w:val="0"/>
          <w:numId w:val="4"/>
        </w:numPr>
        <w:spacing w:after="0" w:line="360" w:lineRule="auto"/>
        <w:jc w:val="both"/>
        <w:rPr>
          <w:rFonts w:ascii="Arial" w:hAnsi="Arial" w:cs="Arial"/>
        </w:rPr>
      </w:pPr>
      <w:r w:rsidRPr="00B501A7">
        <w:rPr>
          <w:rFonts w:ascii="Arial" w:hAnsi="Arial" w:cs="Arial"/>
        </w:rPr>
        <w:t>The Fraud Act 2006;</w:t>
      </w:r>
    </w:p>
    <w:p w:rsidRPr="00B501A7" w:rsidR="00C2101F" w:rsidP="00600D40" w:rsidRDefault="00C2101F" w14:paraId="1648699E" w14:textId="77777777">
      <w:pPr>
        <w:pStyle w:val="ListParagraph"/>
        <w:numPr>
          <w:ilvl w:val="0"/>
          <w:numId w:val="4"/>
        </w:numPr>
        <w:spacing w:after="0" w:line="360" w:lineRule="auto"/>
        <w:jc w:val="both"/>
        <w:rPr>
          <w:rFonts w:ascii="Arial" w:hAnsi="Arial" w:cs="Arial"/>
        </w:rPr>
      </w:pPr>
      <w:r w:rsidRPr="00B501A7">
        <w:rPr>
          <w:rFonts w:ascii="Arial" w:hAnsi="Arial" w:cs="Arial"/>
        </w:rPr>
        <w:t>Local Government Finance Act 1992;</w:t>
      </w:r>
    </w:p>
    <w:p w:rsidRPr="00B501A7" w:rsidR="00C2101F" w:rsidP="00600D40" w:rsidRDefault="00C2101F" w14:paraId="291BB304" w14:textId="77777777">
      <w:pPr>
        <w:pStyle w:val="ListParagraph"/>
        <w:numPr>
          <w:ilvl w:val="0"/>
          <w:numId w:val="4"/>
        </w:numPr>
        <w:spacing w:after="0" w:line="360" w:lineRule="auto"/>
        <w:jc w:val="both"/>
        <w:rPr>
          <w:rFonts w:ascii="Arial" w:hAnsi="Arial" w:cs="Arial"/>
        </w:rPr>
      </w:pPr>
      <w:r w:rsidRPr="00B501A7">
        <w:rPr>
          <w:rFonts w:ascii="Arial" w:hAnsi="Arial" w:cs="Arial"/>
        </w:rPr>
        <w:t>Housing Act 1996;</w:t>
      </w:r>
    </w:p>
    <w:p w:rsidRPr="00B501A7" w:rsidR="00C2101F" w:rsidP="00600D40" w:rsidRDefault="00C2101F" w14:paraId="2FF71A57" w14:textId="77777777">
      <w:pPr>
        <w:pStyle w:val="ListParagraph"/>
        <w:numPr>
          <w:ilvl w:val="0"/>
          <w:numId w:val="4"/>
        </w:numPr>
        <w:spacing w:after="0" w:line="360" w:lineRule="auto"/>
        <w:jc w:val="both"/>
        <w:rPr>
          <w:rFonts w:ascii="Arial" w:hAnsi="Arial" w:cs="Arial"/>
        </w:rPr>
      </w:pPr>
      <w:r w:rsidRPr="00B501A7">
        <w:rPr>
          <w:rFonts w:ascii="Arial" w:hAnsi="Arial" w:cs="Arial"/>
        </w:rPr>
        <w:t>Prevention of Social Housing Fraud Act 2013;</w:t>
      </w:r>
    </w:p>
    <w:p w:rsidRPr="00B501A7" w:rsidR="00C2101F" w:rsidP="00600D40" w:rsidRDefault="00C2101F" w14:paraId="469B1D09" w14:textId="77777777">
      <w:pPr>
        <w:pStyle w:val="ListParagraph"/>
        <w:numPr>
          <w:ilvl w:val="0"/>
          <w:numId w:val="4"/>
        </w:numPr>
        <w:spacing w:after="0" w:line="360" w:lineRule="auto"/>
        <w:jc w:val="both"/>
        <w:rPr>
          <w:rFonts w:ascii="Arial" w:hAnsi="Arial" w:cs="Arial"/>
        </w:rPr>
      </w:pPr>
      <w:r w:rsidRPr="00B501A7">
        <w:rPr>
          <w:rFonts w:ascii="Arial" w:hAnsi="Arial" w:cs="Arial"/>
        </w:rPr>
        <w:t>Forgery and Counterfeiting Act 1981;</w:t>
      </w:r>
    </w:p>
    <w:p w:rsidRPr="00B501A7" w:rsidR="00C2101F" w:rsidP="00600D40" w:rsidRDefault="00C2101F" w14:paraId="243D35FB" w14:textId="77777777">
      <w:pPr>
        <w:pStyle w:val="ListParagraph"/>
        <w:numPr>
          <w:ilvl w:val="0"/>
          <w:numId w:val="4"/>
        </w:numPr>
        <w:spacing w:after="0" w:line="360" w:lineRule="auto"/>
        <w:jc w:val="both"/>
        <w:rPr>
          <w:rFonts w:ascii="Arial" w:hAnsi="Arial" w:cs="Arial"/>
        </w:rPr>
      </w:pPr>
      <w:r w:rsidRPr="00B501A7">
        <w:rPr>
          <w:rFonts w:ascii="Arial" w:hAnsi="Arial" w:cs="Arial"/>
        </w:rPr>
        <w:t>Computer Misuse Act 1990;</w:t>
      </w:r>
    </w:p>
    <w:p w:rsidRPr="00B501A7" w:rsidR="00C2101F" w:rsidP="00600D40" w:rsidRDefault="00C2101F" w14:paraId="266270B4" w14:textId="77777777">
      <w:pPr>
        <w:pStyle w:val="ListParagraph"/>
        <w:numPr>
          <w:ilvl w:val="0"/>
          <w:numId w:val="4"/>
        </w:numPr>
        <w:spacing w:after="0" w:line="360" w:lineRule="auto"/>
        <w:jc w:val="both"/>
        <w:rPr>
          <w:rFonts w:ascii="Arial" w:hAnsi="Arial" w:cs="Arial"/>
        </w:rPr>
      </w:pPr>
      <w:r w:rsidRPr="00B501A7">
        <w:rPr>
          <w:rFonts w:ascii="Arial" w:hAnsi="Arial" w:cs="Arial"/>
        </w:rPr>
        <w:t>Identity Documents Act 2010;</w:t>
      </w:r>
    </w:p>
    <w:p w:rsidRPr="00B501A7" w:rsidR="00C2101F" w:rsidP="00600D40" w:rsidRDefault="00C2101F" w14:paraId="3DABF037" w14:textId="77777777">
      <w:pPr>
        <w:pStyle w:val="ListParagraph"/>
        <w:numPr>
          <w:ilvl w:val="0"/>
          <w:numId w:val="4"/>
        </w:numPr>
        <w:spacing w:after="0" w:line="360" w:lineRule="auto"/>
        <w:jc w:val="both"/>
        <w:rPr>
          <w:rFonts w:ascii="Arial" w:hAnsi="Arial" w:cs="Arial"/>
        </w:rPr>
      </w:pPr>
      <w:r w:rsidRPr="00B501A7">
        <w:rPr>
          <w:rFonts w:ascii="Arial" w:hAnsi="Arial" w:cs="Arial"/>
        </w:rPr>
        <w:t>The Bribery Act 2010;</w:t>
      </w:r>
    </w:p>
    <w:p w:rsidRPr="00B501A7" w:rsidR="00C2101F" w:rsidP="00600D40" w:rsidRDefault="00C2101F" w14:paraId="7F245852" w14:textId="77777777">
      <w:pPr>
        <w:pStyle w:val="ListParagraph"/>
        <w:numPr>
          <w:ilvl w:val="0"/>
          <w:numId w:val="4"/>
        </w:numPr>
        <w:spacing w:after="0" w:line="360" w:lineRule="auto"/>
        <w:jc w:val="both"/>
        <w:rPr>
          <w:rFonts w:ascii="Arial" w:hAnsi="Arial" w:cs="Arial"/>
        </w:rPr>
      </w:pPr>
      <w:r w:rsidRPr="00B501A7">
        <w:rPr>
          <w:rFonts w:ascii="Arial" w:hAnsi="Arial" w:cs="Arial"/>
        </w:rPr>
        <w:t>Road Traffic Regulation Act 1984;</w:t>
      </w:r>
    </w:p>
    <w:p w:rsidRPr="00B501A7" w:rsidR="00A566D2" w:rsidP="00600D40" w:rsidRDefault="00A566D2" w14:paraId="03778D82" w14:textId="77777777">
      <w:pPr>
        <w:pStyle w:val="ListParagraph"/>
        <w:numPr>
          <w:ilvl w:val="0"/>
          <w:numId w:val="4"/>
        </w:numPr>
        <w:spacing w:after="0" w:line="360" w:lineRule="auto"/>
        <w:jc w:val="both"/>
        <w:rPr>
          <w:rFonts w:ascii="Arial" w:hAnsi="Arial" w:cs="Arial"/>
        </w:rPr>
      </w:pPr>
      <w:r w:rsidRPr="00B501A7">
        <w:rPr>
          <w:rFonts w:ascii="Arial" w:hAnsi="Arial" w:cs="Arial"/>
        </w:rPr>
        <w:t>Economic Crime and Corporate Transparency Act 2023 (Failure to Prevent Fraud)</w:t>
      </w:r>
    </w:p>
    <w:p w:rsidRPr="00B501A7" w:rsidR="00C2101F" w:rsidP="00600D40" w:rsidRDefault="00C2101F" w14:paraId="6CCB48BD" w14:textId="77777777">
      <w:pPr>
        <w:pStyle w:val="ListParagraph"/>
        <w:numPr>
          <w:ilvl w:val="0"/>
          <w:numId w:val="4"/>
        </w:numPr>
        <w:spacing w:after="0" w:line="360" w:lineRule="auto"/>
        <w:jc w:val="both"/>
        <w:rPr>
          <w:rFonts w:ascii="Arial" w:hAnsi="Arial" w:cs="Arial"/>
        </w:rPr>
      </w:pPr>
      <w:r w:rsidRPr="00B501A7">
        <w:rPr>
          <w:rFonts w:ascii="Arial" w:hAnsi="Arial" w:cs="Arial"/>
        </w:rPr>
        <w:t>Any other relevant provision in law.</w:t>
      </w:r>
    </w:p>
    <w:p w:rsidRPr="00B501A7" w:rsidR="00C2101F" w:rsidP="00B501A7" w:rsidRDefault="00C2101F" w14:paraId="4DB277F1" w14:textId="77777777">
      <w:pPr>
        <w:pStyle w:val="Heading5"/>
        <w:rPr>
          <w:rFonts w:ascii="Arial" w:hAnsi="Arial" w:cs="Arial"/>
          <w:color w:val="auto"/>
        </w:rPr>
      </w:pPr>
    </w:p>
    <w:p w:rsidRPr="00B501A7" w:rsidR="00C2101F" w:rsidP="00B501A7" w:rsidRDefault="00C2101F" w14:paraId="52B02700" w14:textId="77777777">
      <w:pPr>
        <w:pStyle w:val="Heading5"/>
        <w:rPr>
          <w:rFonts w:ascii="Arial" w:hAnsi="Arial" w:cs="Arial"/>
          <w:color w:val="auto"/>
        </w:rPr>
      </w:pPr>
      <w:r w:rsidRPr="00B501A7">
        <w:rPr>
          <w:rFonts w:ascii="Arial" w:hAnsi="Arial" w:cs="Arial"/>
          <w:color w:val="auto"/>
        </w:rPr>
        <w:t xml:space="preserve">Any criminal proceedings can include an attempt to recover money under the Proceeds of Crime Act 2002 </w:t>
      </w:r>
      <w:r w:rsidRPr="00B501A7" w:rsidR="002A6387">
        <w:rPr>
          <w:rFonts w:ascii="Arial" w:hAnsi="Arial" w:cs="Arial"/>
          <w:color w:val="auto"/>
        </w:rPr>
        <w:t xml:space="preserve">(POCA) </w:t>
      </w:r>
      <w:r w:rsidRPr="00B501A7">
        <w:rPr>
          <w:rFonts w:ascii="Arial" w:hAnsi="Arial" w:cs="Arial"/>
          <w:color w:val="auto"/>
        </w:rPr>
        <w:t>or Prevention of Social Housing Fraud Act 2103.</w:t>
      </w:r>
    </w:p>
    <w:p w:rsidRPr="00B501A7" w:rsidR="007B05D4" w:rsidP="00B501A7" w:rsidRDefault="007B05D4" w14:paraId="4AD50BA8" w14:textId="77777777">
      <w:pPr>
        <w:pStyle w:val="Heading5"/>
        <w:rPr>
          <w:rFonts w:ascii="Arial" w:hAnsi="Arial" w:cs="Arial"/>
          <w:b/>
          <w:color w:val="auto"/>
        </w:rPr>
      </w:pPr>
    </w:p>
    <w:p w:rsidRPr="00B501A7" w:rsidR="00C2101F" w:rsidP="00600D40" w:rsidRDefault="00C2101F" w14:paraId="6A2D1202" w14:textId="77777777">
      <w:pPr>
        <w:pStyle w:val="Heading5"/>
        <w:numPr>
          <w:ilvl w:val="0"/>
          <w:numId w:val="8"/>
        </w:numPr>
        <w:ind w:left="426" w:hanging="426"/>
        <w:rPr>
          <w:rFonts w:ascii="Arial" w:hAnsi="Arial" w:cs="Arial"/>
          <w:b/>
          <w:bCs/>
          <w:color w:val="auto"/>
        </w:rPr>
      </w:pPr>
      <w:r w:rsidRPr="00B501A7">
        <w:rPr>
          <w:rFonts w:ascii="Arial" w:hAnsi="Arial" w:cs="Arial"/>
          <w:b/>
          <w:color w:val="auto"/>
        </w:rPr>
        <w:t>Sanction as Alternatives to Prosecution</w:t>
      </w:r>
    </w:p>
    <w:p w:rsidRPr="00B501A7" w:rsidR="00C2101F" w:rsidP="00B501A7" w:rsidRDefault="00C2101F" w14:paraId="7573CE40" w14:textId="77777777">
      <w:pPr>
        <w:spacing w:after="0"/>
        <w:jc w:val="both"/>
        <w:rPr>
          <w:rFonts w:ascii="Arial" w:hAnsi="Arial" w:cs="Arial"/>
        </w:rPr>
      </w:pPr>
      <w:r w:rsidRPr="00B501A7">
        <w:rPr>
          <w:rFonts w:ascii="Arial" w:hAnsi="Arial" w:cs="Arial"/>
        </w:rPr>
        <w:t xml:space="preserve">The Local Government Finance Act 1992 allows the Council to consider financial penalties as alternatives to prosecution and these should always be considered. However, in serious cases </w:t>
      </w:r>
      <w:r w:rsidRPr="00B501A7">
        <w:rPr>
          <w:rFonts w:ascii="Arial" w:hAnsi="Arial" w:cs="Arial"/>
        </w:rPr>
        <w:lastRenderedPageBreak/>
        <w:t>of fraud or where repeat offending occurs, the option to prosecute offenders will be kept under review.</w:t>
      </w:r>
    </w:p>
    <w:p w:rsidRPr="00B501A7" w:rsidR="00C2101F" w:rsidP="00B501A7" w:rsidRDefault="00C2101F" w14:paraId="76BC51CD" w14:textId="77777777">
      <w:pPr>
        <w:spacing w:after="0"/>
        <w:jc w:val="both"/>
        <w:rPr>
          <w:rFonts w:ascii="Arial" w:hAnsi="Arial" w:cs="Arial"/>
        </w:rPr>
      </w:pPr>
    </w:p>
    <w:p w:rsidRPr="003340FD" w:rsidR="00C2101F" w:rsidP="00600D40" w:rsidRDefault="00C2101F" w14:paraId="319B1CAF" w14:textId="77777777">
      <w:pPr>
        <w:pStyle w:val="ListParagraph"/>
        <w:numPr>
          <w:ilvl w:val="0"/>
          <w:numId w:val="8"/>
        </w:numPr>
        <w:spacing w:after="0" w:line="276" w:lineRule="auto"/>
        <w:ind w:left="426" w:hanging="426"/>
        <w:jc w:val="both"/>
        <w:rPr>
          <w:rFonts w:ascii="Arial" w:hAnsi="Arial" w:cs="Arial"/>
          <w:b/>
          <w:bCs/>
        </w:rPr>
      </w:pPr>
      <w:r w:rsidRPr="003340FD">
        <w:rPr>
          <w:rFonts w:ascii="Arial" w:hAnsi="Arial" w:cs="Arial"/>
          <w:b/>
          <w:bCs/>
        </w:rPr>
        <w:t xml:space="preserve">Civil Penalties </w:t>
      </w:r>
    </w:p>
    <w:p w:rsidRPr="00B501A7" w:rsidR="00C2101F" w:rsidP="00A64209" w:rsidRDefault="00C2101F" w14:paraId="1F8A17B3" w14:textId="77777777">
      <w:pPr>
        <w:spacing w:after="0" w:line="240" w:lineRule="auto"/>
        <w:jc w:val="both"/>
        <w:rPr>
          <w:rFonts w:ascii="Arial" w:hAnsi="Arial" w:cs="Arial"/>
          <w:lang w:eastAsia="en-GB"/>
        </w:rPr>
      </w:pPr>
      <w:r w:rsidRPr="00B501A7">
        <w:rPr>
          <w:rFonts w:ascii="Arial" w:hAnsi="Arial" w:cs="Arial"/>
          <w:lang w:eastAsia="en-GB"/>
        </w:rPr>
        <w:t>Regulation 13. Council Tax Reduction Schemes (Detection of Fraud and Enforcement)</w:t>
      </w:r>
      <w:r w:rsidRPr="00B501A7" w:rsidR="007B05D4">
        <w:rPr>
          <w:rFonts w:ascii="Arial" w:hAnsi="Arial" w:cs="Arial"/>
          <w:lang w:eastAsia="en-GB"/>
        </w:rPr>
        <w:t xml:space="preserve"> </w:t>
      </w:r>
      <w:r w:rsidRPr="00B501A7">
        <w:rPr>
          <w:rFonts w:ascii="Arial" w:hAnsi="Arial" w:cs="Arial"/>
          <w:lang w:eastAsia="en-GB"/>
        </w:rPr>
        <w:t>(England) Regulations 2013 and Schedule 3 Local Government Finance Act 1992 permit ‘billing authorities’ to impose financial penalties where a person fails to report a material fact affecting their council tax liability or where a person fails, without good reason, to correct an error.</w:t>
      </w:r>
    </w:p>
    <w:p w:rsidRPr="00B501A7" w:rsidR="00C2101F" w:rsidP="00B501A7" w:rsidRDefault="00C2101F" w14:paraId="0FBBF18A" w14:textId="77777777">
      <w:pPr>
        <w:spacing w:after="0"/>
        <w:jc w:val="both"/>
        <w:rPr>
          <w:rFonts w:ascii="Arial" w:hAnsi="Arial" w:cs="Arial"/>
        </w:rPr>
      </w:pPr>
    </w:p>
    <w:p w:rsidRPr="00B501A7" w:rsidR="00C2101F" w:rsidP="00B501A7" w:rsidRDefault="00C2101F" w14:paraId="382E07DC" w14:textId="77777777">
      <w:pPr>
        <w:spacing w:after="0"/>
        <w:jc w:val="both"/>
        <w:rPr>
          <w:rFonts w:ascii="Arial" w:hAnsi="Arial" w:cs="Arial"/>
        </w:rPr>
      </w:pPr>
      <w:r w:rsidRPr="00B501A7">
        <w:rPr>
          <w:rFonts w:ascii="Arial" w:hAnsi="Arial" w:cs="Arial"/>
        </w:rPr>
        <w:t>The Revenue</w:t>
      </w:r>
      <w:r w:rsidRPr="00B501A7" w:rsidR="007B05D4">
        <w:rPr>
          <w:rFonts w:ascii="Arial" w:hAnsi="Arial" w:cs="Arial"/>
        </w:rPr>
        <w:t>s</w:t>
      </w:r>
      <w:r w:rsidRPr="00B501A7">
        <w:rPr>
          <w:rFonts w:ascii="Arial" w:hAnsi="Arial" w:cs="Arial"/>
        </w:rPr>
        <w:t xml:space="preserve"> </w:t>
      </w:r>
      <w:r w:rsidRPr="00B501A7" w:rsidR="00753AF2">
        <w:rPr>
          <w:rFonts w:ascii="Arial" w:hAnsi="Arial" w:cs="Arial"/>
        </w:rPr>
        <w:t xml:space="preserve">and Benefits </w:t>
      </w:r>
      <w:r w:rsidRPr="00B501A7" w:rsidR="007B05D4">
        <w:rPr>
          <w:rFonts w:ascii="Arial" w:hAnsi="Arial" w:cs="Arial"/>
        </w:rPr>
        <w:t>Manager</w:t>
      </w:r>
      <w:r w:rsidRPr="00B501A7">
        <w:rPr>
          <w:rFonts w:ascii="Arial" w:hAnsi="Arial" w:cs="Arial"/>
        </w:rPr>
        <w:t xml:space="preserve"> will make the decision about the imposition of any Civil Penalties. </w:t>
      </w:r>
    </w:p>
    <w:p w:rsidRPr="00B501A7" w:rsidR="00C2101F" w:rsidP="00B501A7" w:rsidRDefault="00C2101F" w14:paraId="58F05CC2" w14:textId="77777777">
      <w:pPr>
        <w:spacing w:after="0"/>
        <w:jc w:val="both"/>
        <w:rPr>
          <w:rFonts w:ascii="Arial" w:hAnsi="Arial" w:cs="Arial"/>
        </w:rPr>
      </w:pPr>
    </w:p>
    <w:p w:rsidRPr="00B501A7" w:rsidR="00C2101F" w:rsidP="00B501A7" w:rsidRDefault="00C2101F" w14:paraId="18237684" w14:textId="77777777">
      <w:pPr>
        <w:spacing w:after="0"/>
        <w:jc w:val="both"/>
        <w:rPr>
          <w:rFonts w:ascii="Arial" w:hAnsi="Arial" w:cs="Arial"/>
          <w:i/>
        </w:rPr>
      </w:pPr>
      <w:r w:rsidRPr="00B501A7">
        <w:rPr>
          <w:rFonts w:ascii="Arial" w:hAnsi="Arial" w:cs="Arial"/>
        </w:rPr>
        <w:t>All penalties will be recovered by adding the debt to a person’s Council Tax liability for the current year and recovered only once that annual liability has been settled in full.</w:t>
      </w:r>
    </w:p>
    <w:p w:rsidRPr="00B501A7" w:rsidR="00C2101F" w:rsidP="00B501A7" w:rsidRDefault="00C2101F" w14:paraId="238658FB" w14:textId="77777777">
      <w:pPr>
        <w:spacing w:after="0"/>
        <w:jc w:val="both"/>
        <w:rPr>
          <w:rFonts w:ascii="Arial" w:hAnsi="Arial" w:cs="Arial"/>
        </w:rPr>
      </w:pPr>
    </w:p>
    <w:p w:rsidRPr="003340FD" w:rsidR="00C2101F" w:rsidP="00600D40" w:rsidRDefault="00C2101F" w14:paraId="74106368" w14:textId="77777777">
      <w:pPr>
        <w:pStyle w:val="ListParagraph"/>
        <w:numPr>
          <w:ilvl w:val="0"/>
          <w:numId w:val="8"/>
        </w:numPr>
        <w:spacing w:after="0" w:line="276" w:lineRule="auto"/>
        <w:ind w:left="426" w:hanging="426"/>
        <w:jc w:val="both"/>
        <w:rPr>
          <w:rFonts w:ascii="Arial" w:hAnsi="Arial" w:cs="Arial"/>
        </w:rPr>
      </w:pPr>
      <w:r w:rsidRPr="003340FD">
        <w:rPr>
          <w:rFonts w:ascii="Arial" w:hAnsi="Arial" w:cs="Arial"/>
          <w:b/>
          <w:bCs/>
        </w:rPr>
        <w:t>Administrative Penalties</w:t>
      </w:r>
      <w:r w:rsidRPr="003340FD">
        <w:rPr>
          <w:rFonts w:ascii="Arial" w:hAnsi="Arial" w:cs="Arial"/>
        </w:rPr>
        <w:t xml:space="preserve">. </w:t>
      </w:r>
    </w:p>
    <w:p w:rsidRPr="00B501A7" w:rsidR="00C2101F" w:rsidP="00A64209" w:rsidRDefault="00C2101F" w14:paraId="478B099B" w14:textId="77777777">
      <w:pPr>
        <w:spacing w:after="0" w:line="240" w:lineRule="auto"/>
        <w:jc w:val="both"/>
        <w:rPr>
          <w:rFonts w:ascii="Arial" w:hAnsi="Arial" w:cs="Arial"/>
        </w:rPr>
      </w:pPr>
      <w:r w:rsidRPr="00B501A7">
        <w:rPr>
          <w:rFonts w:ascii="Arial" w:hAnsi="Arial" w:cs="Arial"/>
          <w:i/>
        </w:rPr>
        <w:t>Regulation 11</w:t>
      </w:r>
      <w:r w:rsidRPr="00B501A7" w:rsidR="002A6387">
        <w:rPr>
          <w:rFonts w:ascii="Arial" w:hAnsi="Arial" w:cs="Arial"/>
          <w:i/>
        </w:rPr>
        <w:t>(4)</w:t>
      </w:r>
      <w:r w:rsidRPr="00B501A7">
        <w:rPr>
          <w:rFonts w:ascii="Arial" w:hAnsi="Arial" w:cs="Arial"/>
          <w:i/>
        </w:rPr>
        <w:t xml:space="preserve"> Council Tax Reduction Schemes (Detection of Fraud and Enforcement) (England) Regulations 2013</w:t>
      </w:r>
      <w:r w:rsidRPr="00B501A7">
        <w:rPr>
          <w:rFonts w:ascii="Arial" w:hAnsi="Arial" w:cs="Arial"/>
        </w:rPr>
        <w:t>, provide for Administrative Penalties to be offered to persons as alternatives to prosecution. The legislation allows for Administrative Penalties amounting to 50% of the gross reduction can be offered. In all such cases of fraud the Council will seek to recover the excess award as well any penalty.</w:t>
      </w:r>
    </w:p>
    <w:p w:rsidRPr="00B501A7" w:rsidR="00C2101F" w:rsidP="00B501A7" w:rsidRDefault="00C2101F" w14:paraId="3BFC6729" w14:textId="77777777">
      <w:pPr>
        <w:spacing w:after="0"/>
        <w:jc w:val="both"/>
        <w:rPr>
          <w:rFonts w:ascii="Arial" w:hAnsi="Arial" w:cs="Arial"/>
        </w:rPr>
      </w:pPr>
      <w:r w:rsidRPr="00B501A7">
        <w:rPr>
          <w:rFonts w:ascii="Arial" w:hAnsi="Arial" w:cs="Arial"/>
        </w:rPr>
        <w:t xml:space="preserve"> </w:t>
      </w:r>
    </w:p>
    <w:p w:rsidRPr="00B501A7" w:rsidR="00C2101F" w:rsidP="00B501A7" w:rsidRDefault="00C2101F" w14:paraId="5D0E604B" w14:textId="77777777">
      <w:pPr>
        <w:spacing w:after="0"/>
        <w:jc w:val="both"/>
        <w:rPr>
          <w:rFonts w:ascii="Arial" w:hAnsi="Arial" w:cs="Arial"/>
        </w:rPr>
      </w:pPr>
      <w:r w:rsidRPr="00B501A7">
        <w:rPr>
          <w:rFonts w:ascii="Arial" w:hAnsi="Arial" w:cs="Arial"/>
        </w:rPr>
        <w:t>The Council</w:t>
      </w:r>
      <w:r w:rsidRPr="00B501A7" w:rsidR="007B05D4">
        <w:rPr>
          <w:rFonts w:ascii="Arial" w:hAnsi="Arial" w:cs="Arial"/>
        </w:rPr>
        <w:t>’</w:t>
      </w:r>
      <w:r w:rsidRPr="00B501A7">
        <w:rPr>
          <w:rFonts w:ascii="Arial" w:hAnsi="Arial" w:cs="Arial"/>
        </w:rPr>
        <w:t>s Revenues</w:t>
      </w:r>
      <w:r w:rsidRPr="00B501A7" w:rsidR="007B05D4">
        <w:rPr>
          <w:rFonts w:ascii="Arial" w:hAnsi="Arial" w:cs="Arial"/>
        </w:rPr>
        <w:t xml:space="preserve"> </w:t>
      </w:r>
      <w:r w:rsidRPr="00B501A7" w:rsidR="00753AF2">
        <w:rPr>
          <w:rFonts w:ascii="Arial" w:hAnsi="Arial" w:cs="Arial"/>
        </w:rPr>
        <w:t xml:space="preserve">and Benefits </w:t>
      </w:r>
      <w:r w:rsidRPr="00B501A7" w:rsidR="007B05D4">
        <w:rPr>
          <w:rFonts w:ascii="Arial" w:hAnsi="Arial" w:cs="Arial"/>
        </w:rPr>
        <w:t>Manager</w:t>
      </w:r>
      <w:r w:rsidRPr="00B501A7">
        <w:rPr>
          <w:rFonts w:ascii="Arial" w:hAnsi="Arial" w:cs="Arial"/>
        </w:rPr>
        <w:t xml:space="preserve"> will make the decision about the offer of any Administrative Penalties on advice from the SAFS.  The Head of SAFS will arrange for the administrative penalty to be offered to the person liable for it and any cooling off period required by legislation.</w:t>
      </w:r>
    </w:p>
    <w:p w:rsidR="00B501A7" w:rsidP="00B501A7" w:rsidRDefault="00B501A7" w14:paraId="47195607" w14:textId="77777777">
      <w:pPr>
        <w:spacing w:after="0"/>
        <w:jc w:val="both"/>
        <w:rPr>
          <w:rFonts w:ascii="Arial" w:hAnsi="Arial" w:cs="Arial"/>
          <w:b/>
          <w:bCs/>
        </w:rPr>
      </w:pPr>
    </w:p>
    <w:p w:rsidRPr="003340FD" w:rsidR="00BD1A65" w:rsidP="00600D40" w:rsidRDefault="00BD1A65" w14:paraId="0B90F344" w14:textId="159D1AC9">
      <w:pPr>
        <w:pStyle w:val="ListParagraph"/>
        <w:numPr>
          <w:ilvl w:val="0"/>
          <w:numId w:val="8"/>
        </w:numPr>
        <w:spacing w:after="0" w:line="276" w:lineRule="auto"/>
        <w:ind w:left="426" w:hanging="426"/>
        <w:jc w:val="both"/>
        <w:rPr>
          <w:rFonts w:ascii="Arial" w:hAnsi="Arial" w:cs="Arial"/>
        </w:rPr>
      </w:pPr>
      <w:r w:rsidRPr="003340FD">
        <w:rPr>
          <w:rFonts w:ascii="Arial" w:hAnsi="Arial" w:cs="Arial"/>
          <w:b/>
          <w:bCs/>
        </w:rPr>
        <w:t>Out of Court Disposal - Cautions</w:t>
      </w:r>
      <w:r w:rsidRPr="003340FD">
        <w:rPr>
          <w:rFonts w:ascii="Arial" w:hAnsi="Arial" w:cs="Arial"/>
        </w:rPr>
        <w:t xml:space="preserve">. </w:t>
      </w:r>
    </w:p>
    <w:p w:rsidRPr="00B501A7" w:rsidR="00BD1A65" w:rsidP="00A64209" w:rsidRDefault="00BD1A65" w14:paraId="4074B2B9" w14:textId="77777777">
      <w:pPr>
        <w:spacing w:after="0" w:line="240" w:lineRule="auto"/>
        <w:jc w:val="both"/>
        <w:rPr>
          <w:rFonts w:ascii="Arial" w:hAnsi="Arial" w:cs="Arial"/>
        </w:rPr>
      </w:pPr>
      <w:r w:rsidRPr="00B501A7">
        <w:rPr>
          <w:rFonts w:ascii="Arial" w:hAnsi="Arial" w:cs="Arial"/>
        </w:rPr>
        <w:t>The Police, Crime, Sentencing and Courts Act 2022 introduced  Diversionary and Community Cautions for offenders aged 18 and over. Enacted in 2023 we may consider the use of both cautions in appropriate cases where fraud has been established and admitted by the offender.</w:t>
      </w:r>
    </w:p>
    <w:p w:rsidRPr="00B501A7" w:rsidR="00BD1A65" w:rsidP="00B501A7" w:rsidRDefault="00BD1A65" w14:paraId="57F944B0" w14:textId="77777777">
      <w:pPr>
        <w:spacing w:after="0"/>
        <w:jc w:val="both"/>
        <w:rPr>
          <w:rFonts w:ascii="Arial" w:hAnsi="Arial" w:cs="Arial"/>
          <w:b/>
          <w:bCs/>
        </w:rPr>
      </w:pPr>
    </w:p>
    <w:p w:rsidRPr="003340FD" w:rsidR="00BD1A65" w:rsidP="00600D40" w:rsidRDefault="00BD1A65" w14:paraId="10CCF9D8" w14:textId="77777777">
      <w:pPr>
        <w:pStyle w:val="ListParagraph"/>
        <w:numPr>
          <w:ilvl w:val="0"/>
          <w:numId w:val="8"/>
        </w:numPr>
        <w:spacing w:after="0" w:line="276" w:lineRule="auto"/>
        <w:ind w:left="567" w:hanging="567"/>
        <w:jc w:val="both"/>
        <w:rPr>
          <w:rFonts w:ascii="Arial" w:hAnsi="Arial" w:cs="Arial"/>
        </w:rPr>
      </w:pPr>
      <w:r w:rsidRPr="003340FD">
        <w:rPr>
          <w:rFonts w:ascii="Arial" w:hAnsi="Arial" w:cs="Arial"/>
          <w:b/>
          <w:bCs/>
        </w:rPr>
        <w:t>Cease and Desist Notices</w:t>
      </w:r>
      <w:r w:rsidRPr="003340FD">
        <w:rPr>
          <w:rFonts w:ascii="Arial" w:hAnsi="Arial" w:cs="Arial"/>
        </w:rPr>
        <w:t xml:space="preserve">. </w:t>
      </w:r>
    </w:p>
    <w:p w:rsidRPr="00B501A7" w:rsidR="00BD1A65" w:rsidP="00A64209" w:rsidRDefault="00A566D2" w14:paraId="7708C183" w14:textId="77777777">
      <w:pPr>
        <w:spacing w:after="0" w:line="240" w:lineRule="auto"/>
        <w:jc w:val="both"/>
        <w:rPr>
          <w:rFonts w:ascii="Arial" w:hAnsi="Arial" w:cs="Arial"/>
          <w:bCs/>
        </w:rPr>
      </w:pPr>
      <w:r w:rsidRPr="00B501A7">
        <w:rPr>
          <w:rStyle w:val="Strong"/>
          <w:rFonts w:ascii="Arial" w:hAnsi="Arial" w:cs="Arial"/>
          <w:b w:val="0"/>
          <w:bCs w:val="0"/>
          <w:color w:val="111111"/>
          <w:shd w:val="clear" w:color="auto" w:fill="FFFFFF"/>
        </w:rPr>
        <w:t>Although there is no legislative framework for cease and desist notices in r</w:t>
      </w:r>
      <w:r w:rsidRPr="00B501A7" w:rsidR="009D234D">
        <w:rPr>
          <w:rStyle w:val="Strong"/>
          <w:rFonts w:ascii="Arial" w:hAnsi="Arial" w:cs="Arial"/>
          <w:b w:val="0"/>
          <w:bCs w:val="0"/>
          <w:color w:val="111111"/>
          <w:shd w:val="clear" w:color="auto" w:fill="FFFFFF"/>
        </w:rPr>
        <w:t>e</w:t>
      </w:r>
      <w:r w:rsidRPr="00B501A7">
        <w:rPr>
          <w:rStyle w:val="Strong"/>
          <w:rFonts w:ascii="Arial" w:hAnsi="Arial" w:cs="Arial"/>
          <w:b w:val="0"/>
          <w:bCs w:val="0"/>
          <w:color w:val="111111"/>
          <w:shd w:val="clear" w:color="auto" w:fill="FFFFFF"/>
        </w:rPr>
        <w:t>lation to allegations for fraud the Council may issue a cease and desist</w:t>
      </w:r>
      <w:r w:rsidRPr="00B501A7">
        <w:rPr>
          <w:rFonts w:ascii="Arial" w:hAnsi="Arial" w:cs="Arial"/>
          <w:b/>
          <w:color w:val="111111"/>
          <w:shd w:val="clear" w:color="auto" w:fill="FFFFFF"/>
        </w:rPr>
        <w:t> </w:t>
      </w:r>
      <w:r w:rsidRPr="00B501A7">
        <w:rPr>
          <w:rFonts w:ascii="Arial" w:hAnsi="Arial" w:cs="Arial"/>
          <w:bCs/>
          <w:color w:val="111111"/>
          <w:shd w:val="clear" w:color="auto" w:fill="FFFFFF"/>
        </w:rPr>
        <w:t>letter to i</w:t>
      </w:r>
      <w:r w:rsidRPr="00B501A7">
        <w:rPr>
          <w:rStyle w:val="Strong"/>
          <w:rFonts w:ascii="Arial" w:hAnsi="Arial" w:cs="Arial"/>
          <w:b w:val="0"/>
          <w:color w:val="111111"/>
          <w:shd w:val="clear" w:color="auto" w:fill="FFFFFF"/>
        </w:rPr>
        <w:t>nform</w:t>
      </w:r>
      <w:r w:rsidRPr="00B501A7">
        <w:rPr>
          <w:rStyle w:val="Strong"/>
          <w:rFonts w:ascii="Arial" w:hAnsi="Arial" w:cs="Arial"/>
          <w:b w:val="0"/>
          <w:bCs w:val="0"/>
          <w:color w:val="111111"/>
          <w:shd w:val="clear" w:color="auto" w:fill="FFFFFF"/>
        </w:rPr>
        <w:t xml:space="preserve"> another party that their actions are unlawful and that those persons may be committing offences under the Fraud Act or other legislation.</w:t>
      </w:r>
      <w:r w:rsidRPr="00B501A7">
        <w:rPr>
          <w:rFonts w:ascii="Arial" w:hAnsi="Arial" w:cs="Arial"/>
          <w:b/>
          <w:color w:val="111111"/>
          <w:shd w:val="clear" w:color="auto" w:fill="FFFFFF"/>
        </w:rPr>
        <w:t> </w:t>
      </w:r>
      <w:r w:rsidRPr="00B501A7">
        <w:rPr>
          <w:rFonts w:ascii="Arial" w:hAnsi="Arial" w:cs="Arial"/>
          <w:bCs/>
          <w:color w:val="111111"/>
          <w:shd w:val="clear" w:color="auto" w:fill="FFFFFF"/>
        </w:rPr>
        <w:t>The letter lets the other party know that unless they stop the conduct in question, the Council is prepared to take further action. This may include initiating formal court proceedings</w:t>
      </w:r>
      <w:r w:rsidRPr="00B501A7" w:rsidR="00BD1A65">
        <w:rPr>
          <w:rFonts w:ascii="Arial" w:hAnsi="Arial" w:cs="Arial"/>
          <w:bCs/>
        </w:rPr>
        <w:t>.</w:t>
      </w:r>
    </w:p>
    <w:p w:rsidRPr="00B501A7" w:rsidR="00BD1A65" w:rsidP="00A64209" w:rsidRDefault="00BD1A65" w14:paraId="25F4C922" w14:textId="77777777">
      <w:pPr>
        <w:spacing w:after="0" w:line="276" w:lineRule="auto"/>
        <w:jc w:val="both"/>
        <w:rPr>
          <w:rFonts w:ascii="Arial" w:hAnsi="Arial" w:cs="Arial"/>
          <w:b/>
        </w:rPr>
      </w:pPr>
    </w:p>
    <w:p w:rsidRPr="003340FD" w:rsidR="00C2101F" w:rsidP="00600D40" w:rsidRDefault="00C2101F" w14:paraId="3AD4F1A6" w14:textId="77777777">
      <w:pPr>
        <w:pStyle w:val="ListParagraph"/>
        <w:numPr>
          <w:ilvl w:val="0"/>
          <w:numId w:val="8"/>
        </w:numPr>
        <w:spacing w:after="0"/>
        <w:ind w:left="567" w:hanging="567"/>
        <w:jc w:val="both"/>
        <w:rPr>
          <w:rFonts w:ascii="Arial" w:hAnsi="Arial" w:cs="Arial"/>
          <w:b/>
        </w:rPr>
      </w:pPr>
      <w:r w:rsidRPr="003340FD">
        <w:rPr>
          <w:rFonts w:ascii="Arial" w:hAnsi="Arial" w:cs="Arial"/>
          <w:b/>
        </w:rPr>
        <w:t>Parallel Sanctions</w:t>
      </w:r>
    </w:p>
    <w:p w:rsidRPr="00B501A7" w:rsidR="00C2101F" w:rsidP="000C344D" w:rsidRDefault="00C2101F" w14:paraId="43BE3370" w14:textId="77777777">
      <w:pPr>
        <w:spacing w:after="0" w:line="240" w:lineRule="auto"/>
        <w:jc w:val="both"/>
        <w:rPr>
          <w:rFonts w:ascii="Arial" w:hAnsi="Arial" w:cs="Arial"/>
        </w:rPr>
      </w:pPr>
      <w:r w:rsidRPr="00B501A7">
        <w:rPr>
          <w:rFonts w:ascii="Arial" w:hAnsi="Arial" w:cs="Arial"/>
        </w:rPr>
        <w:t xml:space="preserve">It is preferable for the appropriate sanctions to proceed simultaneously, but it is not necessary for anyone to await the result of another before concluding. However, due consideration must be given to all proceedings to ensure that one does not impact improperly upon another. The decision to run parallel sanctions will be determined on a </w:t>
      </w:r>
      <w:r w:rsidRPr="00B501A7" w:rsidR="00A11FEA">
        <w:rPr>
          <w:rFonts w:ascii="Arial" w:hAnsi="Arial" w:cs="Arial"/>
        </w:rPr>
        <w:t>case-by-case</w:t>
      </w:r>
      <w:r w:rsidRPr="00B501A7">
        <w:rPr>
          <w:rFonts w:ascii="Arial" w:hAnsi="Arial" w:cs="Arial"/>
        </w:rPr>
        <w:t xml:space="preserve"> basis.</w:t>
      </w:r>
    </w:p>
    <w:p w:rsidRPr="00B501A7" w:rsidR="009D234D" w:rsidP="00B501A7" w:rsidRDefault="009D234D" w14:paraId="72C8288D" w14:textId="77777777">
      <w:pPr>
        <w:pStyle w:val="Heading5"/>
        <w:rPr>
          <w:rFonts w:ascii="Arial" w:hAnsi="Arial" w:cs="Arial"/>
          <w:b/>
          <w:color w:val="auto"/>
        </w:rPr>
      </w:pPr>
    </w:p>
    <w:p w:rsidRPr="00B501A7" w:rsidR="00C2101F" w:rsidP="00600D40" w:rsidRDefault="00C2101F" w14:paraId="03C89366" w14:textId="77777777">
      <w:pPr>
        <w:pStyle w:val="Heading5"/>
        <w:numPr>
          <w:ilvl w:val="0"/>
          <w:numId w:val="9"/>
        </w:numPr>
        <w:ind w:left="284" w:hanging="284"/>
        <w:rPr>
          <w:rFonts w:ascii="Arial" w:hAnsi="Arial" w:cs="Arial"/>
          <w:b/>
          <w:bCs/>
          <w:color w:val="auto"/>
        </w:rPr>
      </w:pPr>
      <w:r w:rsidRPr="00B501A7">
        <w:rPr>
          <w:rFonts w:ascii="Arial" w:hAnsi="Arial" w:cs="Arial"/>
          <w:b/>
          <w:color w:val="auto"/>
        </w:rPr>
        <w:t>PARTNERSHIPS</w:t>
      </w:r>
    </w:p>
    <w:p w:rsidRPr="00B501A7" w:rsidR="00C2101F" w:rsidP="00B501A7" w:rsidRDefault="00C2101F" w14:paraId="57EF5078" w14:textId="77777777">
      <w:pPr>
        <w:pStyle w:val="Heading5"/>
        <w:rPr>
          <w:rFonts w:ascii="Arial" w:hAnsi="Arial" w:cs="Arial"/>
          <w:color w:val="auto"/>
        </w:rPr>
      </w:pPr>
      <w:r w:rsidRPr="00B501A7">
        <w:rPr>
          <w:rFonts w:ascii="Arial" w:hAnsi="Arial" w:cs="Arial"/>
          <w:color w:val="auto"/>
        </w:rPr>
        <w:t xml:space="preserve">Where appropriate, the Council will work in partnership with other organisations such as the Police, other Local Authorities, Social Housing Providers, Department for Work and Pensions, Her Majesty’s Revenue and Customs, UK Borders </w:t>
      </w:r>
      <w:r w:rsidRPr="00B501A7" w:rsidR="00A11FEA">
        <w:rPr>
          <w:rFonts w:ascii="Arial" w:hAnsi="Arial" w:cs="Arial"/>
          <w:color w:val="auto"/>
        </w:rPr>
        <w:t>Agency,</w:t>
      </w:r>
      <w:r w:rsidRPr="00B501A7">
        <w:rPr>
          <w:rFonts w:ascii="Arial" w:hAnsi="Arial" w:cs="Arial"/>
          <w:color w:val="auto"/>
        </w:rPr>
        <w:t xml:space="preserve"> and the Home Office, to bring joint proceedings or assist the other organisation to bring its own proceedings.</w:t>
      </w:r>
    </w:p>
    <w:p w:rsidRPr="00B501A7" w:rsidR="00C2101F" w:rsidP="00B501A7" w:rsidRDefault="00C2101F" w14:paraId="12EF0102" w14:textId="77777777">
      <w:pPr>
        <w:spacing w:after="0"/>
        <w:jc w:val="both"/>
        <w:rPr>
          <w:rFonts w:ascii="Arial" w:hAnsi="Arial" w:cs="Arial"/>
        </w:rPr>
      </w:pPr>
    </w:p>
    <w:p w:rsidRPr="003340FD" w:rsidR="00C2101F" w:rsidP="00600D40" w:rsidRDefault="00C2101F" w14:paraId="76067567" w14:textId="77777777">
      <w:pPr>
        <w:pStyle w:val="ListParagraph"/>
        <w:numPr>
          <w:ilvl w:val="0"/>
          <w:numId w:val="9"/>
        </w:numPr>
        <w:spacing w:after="0"/>
        <w:ind w:left="284" w:hanging="284"/>
        <w:jc w:val="both"/>
        <w:rPr>
          <w:rFonts w:ascii="Arial" w:hAnsi="Arial" w:cs="Arial"/>
          <w:b/>
          <w:bCs/>
          <w:snapToGrid w:val="0"/>
        </w:rPr>
      </w:pPr>
      <w:r w:rsidRPr="003340FD">
        <w:rPr>
          <w:rFonts w:ascii="Arial" w:hAnsi="Arial" w:cs="Arial"/>
          <w:b/>
          <w:bCs/>
          <w:snapToGrid w:val="0"/>
        </w:rPr>
        <w:t>RECORDING DECISIONS</w:t>
      </w:r>
    </w:p>
    <w:p w:rsidRPr="00B501A7" w:rsidR="00C2101F" w:rsidP="00B501A7" w:rsidRDefault="00C2101F" w14:paraId="6446B976" w14:textId="282103D7">
      <w:pPr>
        <w:spacing w:after="0"/>
        <w:jc w:val="both"/>
        <w:rPr>
          <w:rFonts w:ascii="Arial" w:hAnsi="Arial" w:cs="Arial"/>
        </w:rPr>
      </w:pPr>
      <w:r w:rsidRPr="00B501A7">
        <w:rPr>
          <w:rFonts w:ascii="Arial" w:hAnsi="Arial" w:cs="Arial"/>
        </w:rPr>
        <w:t xml:space="preserve">For an effective regime of sanctions to be successful accurate records of all convictions, penalties and cautions must be maintained. This will enable the correct decisions to be made taking full account of the defendant’s background. </w:t>
      </w:r>
    </w:p>
    <w:p w:rsidRPr="00B501A7" w:rsidR="00C2101F" w:rsidP="00B501A7" w:rsidRDefault="00C2101F" w14:paraId="0845BF0F" w14:textId="77777777">
      <w:pPr>
        <w:spacing w:after="0"/>
        <w:jc w:val="both"/>
        <w:rPr>
          <w:rFonts w:ascii="Arial" w:hAnsi="Arial" w:cs="Arial"/>
        </w:rPr>
      </w:pPr>
      <w:r w:rsidRPr="00B501A7">
        <w:rPr>
          <w:rFonts w:ascii="Arial" w:hAnsi="Arial" w:cs="Arial"/>
        </w:rPr>
        <w:t xml:space="preserve">All sanctions will be recorded by both SAFS and the Council, and copies of all documents used to consider and issue the sanction should be retained, in accordance with the relevant retention policies. </w:t>
      </w:r>
    </w:p>
    <w:p w:rsidRPr="00B501A7" w:rsidR="00C2101F" w:rsidP="00B501A7" w:rsidRDefault="00C2101F" w14:paraId="76BF5818" w14:textId="77777777">
      <w:pPr>
        <w:spacing w:after="0"/>
        <w:jc w:val="both"/>
        <w:rPr>
          <w:rFonts w:ascii="Arial" w:hAnsi="Arial" w:cs="Arial"/>
        </w:rPr>
      </w:pPr>
      <w:r w:rsidRPr="00B501A7">
        <w:rPr>
          <w:rFonts w:ascii="Arial" w:hAnsi="Arial" w:cs="Arial"/>
        </w:rPr>
        <w:t xml:space="preserve">In the case of prosecution, all cases that result in successful convictions will be reported to the police for recording on the Police National Computer (PNC) central databases.  This is </w:t>
      </w:r>
      <w:r w:rsidRPr="00B501A7" w:rsidR="002A6387">
        <w:rPr>
          <w:rFonts w:ascii="Arial" w:hAnsi="Arial" w:cs="Arial"/>
        </w:rPr>
        <w:t>usually dealt with via court administration following a hearing.</w:t>
      </w:r>
    </w:p>
    <w:p w:rsidRPr="00B501A7" w:rsidR="00A566D2" w:rsidP="00B501A7" w:rsidRDefault="00A566D2" w14:paraId="25A39305" w14:textId="77777777">
      <w:pPr>
        <w:spacing w:after="0"/>
        <w:jc w:val="both"/>
        <w:rPr>
          <w:rFonts w:ascii="Arial" w:hAnsi="Arial" w:cs="Arial"/>
        </w:rPr>
      </w:pPr>
      <w:r w:rsidRPr="00B501A7">
        <w:rPr>
          <w:rFonts w:ascii="Arial" w:hAnsi="Arial" w:cs="Arial"/>
        </w:rPr>
        <w:t xml:space="preserve">Where Cautions or Cease and Desist </w:t>
      </w:r>
      <w:r w:rsidRPr="00B501A7" w:rsidR="009D234D">
        <w:rPr>
          <w:rFonts w:ascii="Arial" w:hAnsi="Arial" w:cs="Arial"/>
        </w:rPr>
        <w:t>Notices</w:t>
      </w:r>
      <w:r w:rsidRPr="00B501A7">
        <w:rPr>
          <w:rFonts w:ascii="Arial" w:hAnsi="Arial" w:cs="Arial"/>
        </w:rPr>
        <w:t xml:space="preserve"> are issued these will be recorded either on the PNC or with Action Fraud. </w:t>
      </w:r>
    </w:p>
    <w:p w:rsidRPr="00B501A7" w:rsidR="00FC5ACB" w:rsidP="00B501A7" w:rsidRDefault="00FC5ACB" w14:paraId="0F4BFBDD" w14:textId="77777777">
      <w:pPr>
        <w:pStyle w:val="Heading5"/>
        <w:rPr>
          <w:rFonts w:ascii="Arial" w:hAnsi="Arial" w:cs="Arial"/>
          <w:b/>
          <w:color w:val="auto"/>
        </w:rPr>
      </w:pPr>
    </w:p>
    <w:p w:rsidRPr="00B501A7" w:rsidR="00C2101F" w:rsidP="00600D40" w:rsidRDefault="00C2101F" w14:paraId="710A06FA" w14:textId="77777777">
      <w:pPr>
        <w:pStyle w:val="Heading5"/>
        <w:numPr>
          <w:ilvl w:val="0"/>
          <w:numId w:val="9"/>
        </w:numPr>
        <w:ind w:left="284" w:hanging="284"/>
        <w:rPr>
          <w:rFonts w:ascii="Arial" w:hAnsi="Arial" w:cs="Arial"/>
          <w:b/>
          <w:bCs/>
          <w:color w:val="auto"/>
        </w:rPr>
      </w:pPr>
      <w:r w:rsidRPr="00B501A7">
        <w:rPr>
          <w:rFonts w:ascii="Arial" w:hAnsi="Arial" w:cs="Arial"/>
          <w:b/>
          <w:color w:val="auto"/>
        </w:rPr>
        <w:t>PUBLICITY</w:t>
      </w:r>
    </w:p>
    <w:p w:rsidRPr="00B501A7" w:rsidR="00C2101F" w:rsidP="00B501A7" w:rsidRDefault="00C2101F" w14:paraId="1A9071FB" w14:textId="77777777">
      <w:pPr>
        <w:pStyle w:val="Heading5"/>
        <w:rPr>
          <w:rFonts w:ascii="Arial" w:hAnsi="Arial" w:cs="Arial"/>
          <w:color w:val="auto"/>
        </w:rPr>
      </w:pPr>
      <w:r w:rsidRPr="00B501A7">
        <w:rPr>
          <w:rFonts w:ascii="Arial" w:hAnsi="Arial" w:cs="Arial"/>
          <w:color w:val="auto"/>
        </w:rPr>
        <w:t xml:space="preserve">It is the Council’s intention to positively promote this Policy, as well as the outcome of any prosecutions, to deter others from fraudulent activity and reassure the public that the Council acts against those committing fraudulent and or corrupt acts. </w:t>
      </w:r>
    </w:p>
    <w:p w:rsidRPr="00B501A7" w:rsidR="00A566D2" w:rsidP="00B501A7" w:rsidRDefault="00A566D2" w14:paraId="3271781C" w14:textId="77777777">
      <w:pPr>
        <w:spacing w:after="0"/>
        <w:rPr>
          <w:rFonts w:ascii="Arial" w:hAnsi="Arial" w:cs="Arial"/>
        </w:rPr>
      </w:pPr>
    </w:p>
    <w:p w:rsidRPr="00B501A7" w:rsidR="00C2101F" w:rsidP="00B501A7" w:rsidRDefault="00C2101F" w14:paraId="4619A06A" w14:textId="77777777">
      <w:pPr>
        <w:pStyle w:val="Heading5"/>
        <w:rPr>
          <w:rFonts w:ascii="Arial" w:hAnsi="Arial" w:cs="Arial"/>
          <w:color w:val="auto"/>
        </w:rPr>
      </w:pPr>
      <w:r w:rsidRPr="00B501A7">
        <w:rPr>
          <w:rFonts w:ascii="Arial" w:hAnsi="Arial" w:cs="Arial"/>
          <w:color w:val="auto"/>
        </w:rPr>
        <w:t>Consideration will be given to whether the outcome of any case should be reported to the community via various media channels. Publicity, where appropriate, will ensure the profile of counter fraud activity remains at a level which will contribute to ensuring the key objective of preventing fraud is met.</w:t>
      </w:r>
    </w:p>
    <w:p w:rsidRPr="00B501A7" w:rsidR="00FC5ACB" w:rsidP="00B501A7" w:rsidRDefault="00FC5ACB" w14:paraId="602BDEF8" w14:textId="77777777">
      <w:pPr>
        <w:pStyle w:val="Heading5"/>
        <w:rPr>
          <w:rFonts w:ascii="Arial" w:hAnsi="Arial" w:cs="Arial"/>
          <w:b/>
          <w:color w:val="auto"/>
        </w:rPr>
      </w:pPr>
    </w:p>
    <w:p w:rsidRPr="00B501A7" w:rsidR="00C2101F" w:rsidP="00600D40" w:rsidRDefault="00C2101F" w14:paraId="0E15AF7B" w14:textId="77777777">
      <w:pPr>
        <w:pStyle w:val="Heading5"/>
        <w:numPr>
          <w:ilvl w:val="0"/>
          <w:numId w:val="9"/>
        </w:numPr>
        <w:ind w:left="284" w:hanging="284"/>
        <w:rPr>
          <w:rFonts w:ascii="Arial" w:hAnsi="Arial" w:cs="Arial"/>
          <w:b/>
          <w:bCs/>
          <w:color w:val="auto"/>
        </w:rPr>
      </w:pPr>
      <w:r w:rsidRPr="00B501A7">
        <w:rPr>
          <w:rFonts w:ascii="Arial" w:hAnsi="Arial" w:cs="Arial"/>
          <w:b/>
          <w:color w:val="auto"/>
        </w:rPr>
        <w:t>REVIEW</w:t>
      </w:r>
    </w:p>
    <w:p w:rsidRPr="00B501A7" w:rsidR="00C2101F" w:rsidP="00B501A7" w:rsidRDefault="00C2101F" w14:paraId="37F80870" w14:textId="77777777">
      <w:pPr>
        <w:spacing w:after="0"/>
        <w:jc w:val="both"/>
        <w:rPr>
          <w:rFonts w:ascii="Arial" w:hAnsi="Arial" w:cs="Arial"/>
        </w:rPr>
      </w:pPr>
      <w:r w:rsidRPr="00B501A7">
        <w:rPr>
          <w:rFonts w:ascii="Arial" w:hAnsi="Arial" w:cs="Arial"/>
        </w:rPr>
        <w:t xml:space="preserve">This Policy will be kept under regular review by the, s151 and Monitoring Officers to ensure compliance with current legislation and best practice. </w:t>
      </w:r>
    </w:p>
    <w:p w:rsidRPr="00B31BA3" w:rsidR="00C2101F" w:rsidP="00B501A7" w:rsidRDefault="00C2101F" w14:paraId="41687459" w14:textId="77777777">
      <w:pPr>
        <w:spacing w:after="0"/>
        <w:jc w:val="both"/>
      </w:pPr>
    </w:p>
    <w:p w:rsidRPr="00B31BA3" w:rsidR="00C2101F" w:rsidP="00B501A7" w:rsidRDefault="00C2101F" w14:paraId="5F4454FE" w14:textId="77777777">
      <w:pPr>
        <w:spacing w:after="0"/>
        <w:jc w:val="both"/>
      </w:pPr>
    </w:p>
    <w:bookmarkEnd w:id="1"/>
    <w:p w:rsidRPr="00B31BA3" w:rsidR="00C2101F" w:rsidP="00B501A7" w:rsidRDefault="00C2101F" w14:paraId="5B7D8C3B" w14:textId="77777777">
      <w:pPr>
        <w:spacing w:after="0"/>
        <w:jc w:val="both"/>
      </w:pPr>
    </w:p>
    <w:p w:rsidRPr="00533915" w:rsidR="003B7F45" w:rsidP="00B501A7" w:rsidRDefault="003B7F45" w14:paraId="7A79AC37" w14:textId="77777777">
      <w:pPr>
        <w:spacing w:after="0"/>
        <w:rPr>
          <w:b/>
          <w:bCs/>
        </w:rPr>
      </w:pPr>
    </w:p>
    <w:sectPr w:rsidRPr="00533915" w:rsidR="003B7F4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3BA97" w14:textId="77777777" w:rsidR="00A14BF0" w:rsidRDefault="00A14BF0" w:rsidP="00533915">
      <w:pPr>
        <w:spacing w:after="0" w:line="240" w:lineRule="auto"/>
      </w:pPr>
      <w:r>
        <w:separator/>
      </w:r>
    </w:p>
  </w:endnote>
  <w:endnote w:type="continuationSeparator" w:id="0">
    <w:p w14:paraId="242B8987" w14:textId="77777777" w:rsidR="00A14BF0" w:rsidRDefault="00A14BF0" w:rsidP="0053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845043"/>
      <w:docPartObj>
        <w:docPartGallery w:val="Page Numbers (Bottom of Page)"/>
        <w:docPartUnique/>
      </w:docPartObj>
    </w:sdtPr>
    <w:sdtEndPr>
      <w:rPr>
        <w:noProof/>
      </w:rPr>
    </w:sdtEndPr>
    <w:sdtContent>
      <w:p w14:paraId="1AE14570" w14:textId="2143B80B" w:rsidR="00E87FC8" w:rsidRDefault="00E87FC8">
        <w:pPr>
          <w:pStyle w:val="Footer"/>
          <w:jc w:val="right"/>
        </w:pPr>
        <w:r>
          <w:fldChar w:fldCharType="begin"/>
        </w:r>
        <w:r>
          <w:instrText xml:space="preserve"> PAGE   \* MERGEFORMAT </w:instrText>
        </w:r>
        <w:r>
          <w:fldChar w:fldCharType="separate"/>
        </w:r>
        <w:r w:rsidR="00600D40">
          <w:rPr>
            <w:noProof/>
          </w:rPr>
          <w:t>1</w:t>
        </w:r>
        <w:r>
          <w:rPr>
            <w:noProof/>
          </w:rPr>
          <w:fldChar w:fldCharType="end"/>
        </w:r>
      </w:p>
    </w:sdtContent>
  </w:sdt>
  <w:p w14:paraId="4F31A7FD" w14:textId="77777777" w:rsidR="00E87FC8" w:rsidRDefault="00AE7691">
    <w:pPr>
      <w:pStyle w:val="Footer"/>
    </w:pPr>
    <w:r>
      <w:t>Version 1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25517" w14:textId="77777777" w:rsidR="00A14BF0" w:rsidRDefault="00A14BF0" w:rsidP="00533915">
      <w:pPr>
        <w:spacing w:after="0" w:line="240" w:lineRule="auto"/>
      </w:pPr>
      <w:r>
        <w:separator/>
      </w:r>
    </w:p>
  </w:footnote>
  <w:footnote w:type="continuationSeparator" w:id="0">
    <w:p w14:paraId="582BCC20" w14:textId="77777777" w:rsidR="00A14BF0" w:rsidRDefault="00A14BF0" w:rsidP="00533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CE5"/>
    <w:multiLevelType w:val="hybridMultilevel"/>
    <w:tmpl w:val="59E2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91BC6"/>
    <w:multiLevelType w:val="hybridMultilevel"/>
    <w:tmpl w:val="969EC9C0"/>
    <w:lvl w:ilvl="0" w:tplc="77DCB4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25B09"/>
    <w:multiLevelType w:val="hybridMultilevel"/>
    <w:tmpl w:val="81AAE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26919"/>
    <w:multiLevelType w:val="hybridMultilevel"/>
    <w:tmpl w:val="9A9E4DB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8F140D"/>
    <w:multiLevelType w:val="hybridMultilevel"/>
    <w:tmpl w:val="A798F8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5222F8"/>
    <w:multiLevelType w:val="hybridMultilevel"/>
    <w:tmpl w:val="27FAFCAC"/>
    <w:lvl w:ilvl="0" w:tplc="1D30187A">
      <w:start w:val="1"/>
      <w:numFmt w:val="decimal"/>
      <w:lvlText w:val="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B67EFA"/>
    <w:multiLevelType w:val="hybridMultilevel"/>
    <w:tmpl w:val="F0FA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7766A"/>
    <w:multiLevelType w:val="hybridMultilevel"/>
    <w:tmpl w:val="3EE411B4"/>
    <w:lvl w:ilvl="0" w:tplc="70E478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E0138E"/>
    <w:multiLevelType w:val="hybridMultilevel"/>
    <w:tmpl w:val="BFB2C226"/>
    <w:lvl w:ilvl="0" w:tplc="9F3A24F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A79A6"/>
    <w:multiLevelType w:val="hybridMultilevel"/>
    <w:tmpl w:val="400E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84C10"/>
    <w:multiLevelType w:val="hybridMultilevel"/>
    <w:tmpl w:val="F1C0085E"/>
    <w:lvl w:ilvl="0" w:tplc="F5A43E54">
      <w:start w:val="1"/>
      <w:numFmt w:val="decimal"/>
      <w:lvlText w:val="%1."/>
      <w:lvlJc w:val="left"/>
      <w:pPr>
        <w:ind w:left="5606" w:hanging="360"/>
      </w:pPr>
      <w:rPr>
        <w:rFonts w:hint="default"/>
      </w:rPr>
    </w:lvl>
    <w:lvl w:ilvl="1" w:tplc="08090019" w:tentative="1">
      <w:start w:val="1"/>
      <w:numFmt w:val="lowerLetter"/>
      <w:lvlText w:val="%2."/>
      <w:lvlJc w:val="left"/>
      <w:pPr>
        <w:ind w:left="6326" w:hanging="360"/>
      </w:pPr>
    </w:lvl>
    <w:lvl w:ilvl="2" w:tplc="0809001B" w:tentative="1">
      <w:start w:val="1"/>
      <w:numFmt w:val="lowerRoman"/>
      <w:lvlText w:val="%3."/>
      <w:lvlJc w:val="right"/>
      <w:pPr>
        <w:ind w:left="7046" w:hanging="180"/>
      </w:pPr>
    </w:lvl>
    <w:lvl w:ilvl="3" w:tplc="0809000F" w:tentative="1">
      <w:start w:val="1"/>
      <w:numFmt w:val="decimal"/>
      <w:lvlText w:val="%4."/>
      <w:lvlJc w:val="left"/>
      <w:pPr>
        <w:ind w:left="7766" w:hanging="360"/>
      </w:pPr>
    </w:lvl>
    <w:lvl w:ilvl="4" w:tplc="08090019" w:tentative="1">
      <w:start w:val="1"/>
      <w:numFmt w:val="lowerLetter"/>
      <w:lvlText w:val="%5."/>
      <w:lvlJc w:val="left"/>
      <w:pPr>
        <w:ind w:left="8486" w:hanging="360"/>
      </w:pPr>
    </w:lvl>
    <w:lvl w:ilvl="5" w:tplc="0809001B" w:tentative="1">
      <w:start w:val="1"/>
      <w:numFmt w:val="lowerRoman"/>
      <w:lvlText w:val="%6."/>
      <w:lvlJc w:val="right"/>
      <w:pPr>
        <w:ind w:left="9206" w:hanging="180"/>
      </w:pPr>
    </w:lvl>
    <w:lvl w:ilvl="6" w:tplc="0809000F" w:tentative="1">
      <w:start w:val="1"/>
      <w:numFmt w:val="decimal"/>
      <w:lvlText w:val="%7."/>
      <w:lvlJc w:val="left"/>
      <w:pPr>
        <w:ind w:left="9926" w:hanging="360"/>
      </w:pPr>
    </w:lvl>
    <w:lvl w:ilvl="7" w:tplc="08090019" w:tentative="1">
      <w:start w:val="1"/>
      <w:numFmt w:val="lowerLetter"/>
      <w:lvlText w:val="%8."/>
      <w:lvlJc w:val="left"/>
      <w:pPr>
        <w:ind w:left="10646" w:hanging="360"/>
      </w:pPr>
    </w:lvl>
    <w:lvl w:ilvl="8" w:tplc="0809001B" w:tentative="1">
      <w:start w:val="1"/>
      <w:numFmt w:val="lowerRoman"/>
      <w:lvlText w:val="%9."/>
      <w:lvlJc w:val="right"/>
      <w:pPr>
        <w:ind w:left="11366" w:hanging="180"/>
      </w:pPr>
    </w:lvl>
  </w:abstractNum>
  <w:abstractNum w:abstractNumId="11" w15:restartNumberingAfterBreak="0">
    <w:nsid w:val="787A3829"/>
    <w:multiLevelType w:val="hybridMultilevel"/>
    <w:tmpl w:val="6344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0"/>
  </w:num>
  <w:num w:numId="5">
    <w:abstractNumId w:val="7"/>
  </w:num>
  <w:num w:numId="6">
    <w:abstractNumId w:val="2"/>
  </w:num>
  <w:num w:numId="7">
    <w:abstractNumId w:val="8"/>
  </w:num>
  <w:num w:numId="8">
    <w:abstractNumId w:val="5"/>
  </w:num>
  <w:num w:numId="9">
    <w:abstractNumId w:val="1"/>
  </w:num>
  <w:num w:numId="10">
    <w:abstractNumId w:val="10"/>
  </w:num>
  <w:num w:numId="11">
    <w:abstractNumId w:val="4"/>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15"/>
    <w:rsid w:val="00026018"/>
    <w:rsid w:val="000434D8"/>
    <w:rsid w:val="00043937"/>
    <w:rsid w:val="000615C8"/>
    <w:rsid w:val="00092DB3"/>
    <w:rsid w:val="000C344D"/>
    <w:rsid w:val="00120221"/>
    <w:rsid w:val="00150B8E"/>
    <w:rsid w:val="00164F47"/>
    <w:rsid w:val="0018317D"/>
    <w:rsid w:val="001B010D"/>
    <w:rsid w:val="002272A6"/>
    <w:rsid w:val="00247C92"/>
    <w:rsid w:val="002A538F"/>
    <w:rsid w:val="002A6387"/>
    <w:rsid w:val="003340FD"/>
    <w:rsid w:val="00344644"/>
    <w:rsid w:val="00370DA2"/>
    <w:rsid w:val="003B42E2"/>
    <w:rsid w:val="003B7F45"/>
    <w:rsid w:val="00403708"/>
    <w:rsid w:val="00417D2F"/>
    <w:rsid w:val="004265D0"/>
    <w:rsid w:val="00457957"/>
    <w:rsid w:val="0049563C"/>
    <w:rsid w:val="004C6C37"/>
    <w:rsid w:val="004C7F8E"/>
    <w:rsid w:val="004E2142"/>
    <w:rsid w:val="00533915"/>
    <w:rsid w:val="005E6B78"/>
    <w:rsid w:val="00600D40"/>
    <w:rsid w:val="006E1BA4"/>
    <w:rsid w:val="00753AF2"/>
    <w:rsid w:val="007935CB"/>
    <w:rsid w:val="00794073"/>
    <w:rsid w:val="007B05D4"/>
    <w:rsid w:val="007E550E"/>
    <w:rsid w:val="00843A1F"/>
    <w:rsid w:val="008B6B14"/>
    <w:rsid w:val="008D07D9"/>
    <w:rsid w:val="00940061"/>
    <w:rsid w:val="009D234D"/>
    <w:rsid w:val="00A05167"/>
    <w:rsid w:val="00A11FEA"/>
    <w:rsid w:val="00A13088"/>
    <w:rsid w:val="00A14BF0"/>
    <w:rsid w:val="00A566D2"/>
    <w:rsid w:val="00A64209"/>
    <w:rsid w:val="00AD5BAB"/>
    <w:rsid w:val="00AE7691"/>
    <w:rsid w:val="00B45692"/>
    <w:rsid w:val="00B501A7"/>
    <w:rsid w:val="00B644EA"/>
    <w:rsid w:val="00B71B1F"/>
    <w:rsid w:val="00BD1A65"/>
    <w:rsid w:val="00BE4B55"/>
    <w:rsid w:val="00C16E47"/>
    <w:rsid w:val="00C2101F"/>
    <w:rsid w:val="00C702F9"/>
    <w:rsid w:val="00CB0F65"/>
    <w:rsid w:val="00DA2357"/>
    <w:rsid w:val="00DC1088"/>
    <w:rsid w:val="00DC2F06"/>
    <w:rsid w:val="00DD74DF"/>
    <w:rsid w:val="00DE7F1B"/>
    <w:rsid w:val="00DF352B"/>
    <w:rsid w:val="00E51F6D"/>
    <w:rsid w:val="00E87FC8"/>
    <w:rsid w:val="00EE375F"/>
    <w:rsid w:val="00EF04D9"/>
    <w:rsid w:val="00F20D40"/>
    <w:rsid w:val="00FC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79CD22"/>
  <w15:chartTrackingRefBased/>
  <w15:docId w15:val="{0E44182B-4544-492F-B395-DA49DB9E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6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C7F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C2101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533915"/>
    <w:rPr>
      <w:rFonts w:cs="Times New Roman"/>
      <w:sz w:val="16"/>
      <w:szCs w:val="16"/>
    </w:rPr>
  </w:style>
  <w:style w:type="paragraph" w:styleId="CommentText">
    <w:name w:val="annotation text"/>
    <w:basedOn w:val="Normal"/>
    <w:link w:val="CommentTextChar"/>
    <w:unhideWhenUsed/>
    <w:rsid w:val="00533915"/>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GB"/>
    </w:rPr>
  </w:style>
  <w:style w:type="character" w:customStyle="1" w:styleId="CommentTextChar">
    <w:name w:val="Comment Text Char"/>
    <w:basedOn w:val="DefaultParagraphFont"/>
    <w:link w:val="CommentText"/>
    <w:rsid w:val="00533915"/>
    <w:rPr>
      <w:rFonts w:ascii="Times New Roman" w:eastAsiaTheme="minorEastAsia" w:hAnsi="Times New Roman" w:cs="Times New Roman"/>
      <w:sz w:val="20"/>
      <w:szCs w:val="20"/>
      <w:lang w:val="en-US" w:eastAsia="en-GB"/>
    </w:rPr>
  </w:style>
  <w:style w:type="paragraph" w:styleId="Header">
    <w:name w:val="header"/>
    <w:basedOn w:val="Normal"/>
    <w:link w:val="HeaderChar"/>
    <w:uiPriority w:val="99"/>
    <w:unhideWhenUsed/>
    <w:rsid w:val="00533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915"/>
  </w:style>
  <w:style w:type="paragraph" w:styleId="Footer">
    <w:name w:val="footer"/>
    <w:basedOn w:val="Normal"/>
    <w:link w:val="FooterChar"/>
    <w:uiPriority w:val="99"/>
    <w:unhideWhenUsed/>
    <w:rsid w:val="00533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915"/>
  </w:style>
  <w:style w:type="paragraph" w:styleId="ListParagraph">
    <w:name w:val="List Paragraph"/>
    <w:basedOn w:val="Normal"/>
    <w:uiPriority w:val="34"/>
    <w:qFormat/>
    <w:rsid w:val="007935CB"/>
    <w:pPr>
      <w:ind w:left="720"/>
      <w:contextualSpacing/>
    </w:pPr>
  </w:style>
  <w:style w:type="character" w:styleId="Hyperlink">
    <w:name w:val="Hyperlink"/>
    <w:basedOn w:val="DefaultParagraphFont"/>
    <w:uiPriority w:val="99"/>
    <w:unhideWhenUsed/>
    <w:rsid w:val="00DC2F06"/>
    <w:rPr>
      <w:color w:val="0563C1" w:themeColor="hyperlink"/>
      <w:u w:val="single"/>
    </w:rPr>
  </w:style>
  <w:style w:type="character" w:customStyle="1" w:styleId="Heading3Char">
    <w:name w:val="Heading 3 Char"/>
    <w:basedOn w:val="DefaultParagraphFont"/>
    <w:link w:val="Heading3"/>
    <w:uiPriority w:val="9"/>
    <w:rsid w:val="004C7F8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C7F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C7F8E"/>
    <w:rPr>
      <w:color w:val="954F72" w:themeColor="followedHyperlink"/>
      <w:u w:val="single"/>
    </w:rPr>
  </w:style>
  <w:style w:type="paragraph" w:styleId="EndnoteText">
    <w:name w:val="endnote text"/>
    <w:basedOn w:val="Normal"/>
    <w:link w:val="EndnoteTextChar"/>
    <w:uiPriority w:val="99"/>
    <w:semiHidden/>
    <w:unhideWhenUsed/>
    <w:rsid w:val="000439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3937"/>
    <w:rPr>
      <w:sz w:val="20"/>
      <w:szCs w:val="20"/>
    </w:rPr>
  </w:style>
  <w:style w:type="character" w:styleId="EndnoteReference">
    <w:name w:val="endnote reference"/>
    <w:basedOn w:val="DefaultParagraphFont"/>
    <w:uiPriority w:val="99"/>
    <w:semiHidden/>
    <w:unhideWhenUsed/>
    <w:rsid w:val="00043937"/>
    <w:rPr>
      <w:vertAlign w:val="superscript"/>
    </w:rPr>
  </w:style>
  <w:style w:type="paragraph" w:styleId="FootnoteText">
    <w:name w:val="footnote text"/>
    <w:basedOn w:val="Normal"/>
    <w:link w:val="FootnoteTextChar"/>
    <w:uiPriority w:val="99"/>
    <w:semiHidden/>
    <w:unhideWhenUsed/>
    <w:rsid w:val="000439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937"/>
    <w:rPr>
      <w:sz w:val="20"/>
      <w:szCs w:val="20"/>
    </w:rPr>
  </w:style>
  <w:style w:type="character" w:styleId="FootnoteReference">
    <w:name w:val="footnote reference"/>
    <w:basedOn w:val="DefaultParagraphFont"/>
    <w:uiPriority w:val="99"/>
    <w:semiHidden/>
    <w:unhideWhenUsed/>
    <w:rsid w:val="00043937"/>
    <w:rPr>
      <w:vertAlign w:val="superscript"/>
    </w:rPr>
  </w:style>
  <w:style w:type="character" w:customStyle="1" w:styleId="Heading5Char">
    <w:name w:val="Heading 5 Char"/>
    <w:basedOn w:val="DefaultParagraphFont"/>
    <w:link w:val="Heading5"/>
    <w:uiPriority w:val="9"/>
    <w:semiHidden/>
    <w:rsid w:val="00C2101F"/>
    <w:rPr>
      <w:rFonts w:asciiTheme="majorHAnsi" w:eastAsiaTheme="majorEastAsia" w:hAnsiTheme="majorHAnsi" w:cstheme="majorBidi"/>
      <w:color w:val="2F5496" w:themeColor="accent1" w:themeShade="BF"/>
    </w:rPr>
  </w:style>
  <w:style w:type="paragraph" w:styleId="Revision">
    <w:name w:val="Revision"/>
    <w:hidden/>
    <w:uiPriority w:val="99"/>
    <w:semiHidden/>
    <w:rsid w:val="00BD1A65"/>
    <w:pPr>
      <w:spacing w:after="0" w:line="240" w:lineRule="auto"/>
    </w:pPr>
  </w:style>
  <w:style w:type="character" w:styleId="Strong">
    <w:name w:val="Strong"/>
    <w:basedOn w:val="DefaultParagraphFont"/>
    <w:uiPriority w:val="22"/>
    <w:qFormat/>
    <w:rsid w:val="00A566D2"/>
    <w:rPr>
      <w:b/>
      <w:bCs/>
    </w:rPr>
  </w:style>
  <w:style w:type="character" w:customStyle="1" w:styleId="Heading1Char">
    <w:name w:val="Heading 1 Char"/>
    <w:basedOn w:val="DefaultParagraphFont"/>
    <w:link w:val="Heading1"/>
    <w:uiPriority w:val="9"/>
    <w:rsid w:val="00A566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86200">
      <w:bodyDiv w:val="1"/>
      <w:marLeft w:val="0"/>
      <w:marRight w:val="0"/>
      <w:marTop w:val="0"/>
      <w:marBottom w:val="0"/>
      <w:divBdr>
        <w:top w:val="none" w:sz="0" w:space="0" w:color="auto"/>
        <w:left w:val="none" w:sz="0" w:space="0" w:color="auto"/>
        <w:bottom w:val="none" w:sz="0" w:space="0" w:color="auto"/>
        <w:right w:val="none" w:sz="0" w:space="0" w:color="auto"/>
      </w:divBdr>
    </w:div>
    <w:div w:id="19417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35E52-8AF9-4D4F-8723-D8CFCE03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1855</Words>
  <Characters>10576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HBC Fraud Sanctions 2024</dc:title>
  <dc:subject>HBC Fraud Sanctions 2024</dc:subject>
  <dc:creator>Nurainatta Katevu</dc:creator>
  <cp:keywords>
  </cp:keywords>
  <dc:description>
  </dc:description>
  <cp:lastModifiedBy>Mihiri Kotalawela</cp:lastModifiedBy>
  <cp:revision>2</cp:revision>
  <dcterms:created xsi:type="dcterms:W3CDTF">2024-12-19T08:41:00Z</dcterms:created>
  <dcterms:modified xsi:type="dcterms:W3CDTF">2024-12-19T11:15:36Z</dcterms:modified>
</cp:coreProperties>
</file>