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75" w:rsidP="00B65C2F" w:rsidRDefault="000B6A75" w14:paraId="602BACF8" w14:textId="77777777">
      <w:pPr>
        <w:jc w:val="center"/>
        <w:rPr>
          <w:rFonts w:ascii="Arial" w:hAnsi="Arial" w:cs="Arial"/>
          <w:b/>
          <w:color w:val="000000" w:themeColor="text1"/>
          <w:u w:val="single"/>
        </w:rPr>
      </w:pPr>
    </w:p>
    <w:p w:rsidRPr="000B6A75" w:rsidR="00DD46FD" w:rsidP="00B65C2F" w:rsidRDefault="00DD46FD" w14:paraId="7A7501AC" w14:textId="7FC5AAAC">
      <w:pPr>
        <w:jc w:val="center"/>
        <w:rPr>
          <w:rFonts w:ascii="Arial" w:hAnsi="Arial" w:cs="Arial"/>
          <w:b/>
          <w:color w:val="000000" w:themeColor="text1"/>
          <w:sz w:val="22"/>
          <w:szCs w:val="22"/>
          <w:u w:val="single"/>
        </w:rPr>
      </w:pPr>
      <w:r w:rsidRPr="000B6A75">
        <w:rPr>
          <w:rFonts w:ascii="Arial" w:hAnsi="Arial" w:cs="Arial"/>
          <w:b/>
          <w:color w:val="000000" w:themeColor="text1"/>
          <w:sz w:val="22"/>
          <w:szCs w:val="22"/>
          <w:u w:val="single"/>
        </w:rPr>
        <w:t>PAY POLICY STATEMENT FOR HERTSMERE BOROUGH COUNCIL</w:t>
      </w:r>
      <w:r w:rsidRPr="000B6A75" w:rsidR="00D565BD">
        <w:rPr>
          <w:rFonts w:ascii="Arial" w:hAnsi="Arial" w:cs="Arial"/>
          <w:b/>
          <w:color w:val="000000" w:themeColor="text1"/>
          <w:sz w:val="22"/>
          <w:szCs w:val="22"/>
          <w:u w:val="single"/>
        </w:rPr>
        <w:t xml:space="preserve"> </w:t>
      </w:r>
      <w:r w:rsidRPr="000B6A75" w:rsidR="00872DDD">
        <w:rPr>
          <w:rFonts w:ascii="Arial" w:hAnsi="Arial" w:cs="Arial"/>
          <w:b/>
          <w:color w:val="000000" w:themeColor="text1"/>
          <w:sz w:val="22"/>
          <w:szCs w:val="22"/>
          <w:u w:val="single"/>
        </w:rPr>
        <w:t>202</w:t>
      </w:r>
      <w:r w:rsidR="00872DDD">
        <w:rPr>
          <w:rFonts w:ascii="Arial" w:hAnsi="Arial" w:cs="Arial"/>
          <w:b/>
          <w:color w:val="000000" w:themeColor="text1"/>
          <w:sz w:val="22"/>
          <w:szCs w:val="22"/>
          <w:u w:val="single"/>
        </w:rPr>
        <w:t>4</w:t>
      </w:r>
      <w:r w:rsidRPr="000B6A75" w:rsidR="00D44088">
        <w:rPr>
          <w:rFonts w:ascii="Arial" w:hAnsi="Arial" w:cs="Arial"/>
          <w:b/>
          <w:color w:val="000000" w:themeColor="text1"/>
          <w:sz w:val="22"/>
          <w:szCs w:val="22"/>
          <w:u w:val="single"/>
        </w:rPr>
        <w:t>/</w:t>
      </w:r>
      <w:r w:rsidRPr="000B6A75" w:rsidR="00872DDD">
        <w:rPr>
          <w:rFonts w:ascii="Arial" w:hAnsi="Arial" w:cs="Arial"/>
          <w:b/>
          <w:color w:val="000000" w:themeColor="text1"/>
          <w:sz w:val="22"/>
          <w:szCs w:val="22"/>
          <w:u w:val="single"/>
        </w:rPr>
        <w:t>2</w:t>
      </w:r>
      <w:r w:rsidR="00872DDD">
        <w:rPr>
          <w:rFonts w:ascii="Arial" w:hAnsi="Arial" w:cs="Arial"/>
          <w:b/>
          <w:color w:val="000000" w:themeColor="text1"/>
          <w:sz w:val="22"/>
          <w:szCs w:val="22"/>
          <w:u w:val="single"/>
        </w:rPr>
        <w:t>5</w:t>
      </w:r>
    </w:p>
    <w:p w:rsidRPr="007A69FA" w:rsidR="001E72AB" w:rsidP="00B65C2F" w:rsidRDefault="001E72AB" w14:paraId="75CE1F0A" w14:textId="77777777">
      <w:pPr>
        <w:rPr>
          <w:rFonts w:ascii="Arial" w:hAnsi="Arial" w:cs="Arial"/>
          <w:color w:val="000000" w:themeColor="text1"/>
        </w:rPr>
      </w:pPr>
    </w:p>
    <w:p w:rsidRPr="007A69FA" w:rsidR="00DD46FD" w:rsidP="009707AF" w:rsidRDefault="00DD46FD" w14:paraId="7F89B0B3" w14:textId="6C95E5F5">
      <w:pPr>
        <w:jc w:val="both"/>
        <w:rPr>
          <w:rFonts w:ascii="Arial" w:hAnsi="Arial" w:cs="Arial"/>
          <w:b/>
          <w:color w:val="000000" w:themeColor="text1"/>
          <w:u w:val="single"/>
        </w:rPr>
      </w:pPr>
      <w:r w:rsidRPr="007A69FA">
        <w:rPr>
          <w:rFonts w:ascii="Arial" w:hAnsi="Arial" w:cs="Arial"/>
          <w:color w:val="000000" w:themeColor="text1"/>
        </w:rPr>
        <w:t xml:space="preserve">This Pay Policy Statement is produced in accordance with </w:t>
      </w:r>
      <w:r w:rsidRPr="007A69FA" w:rsidR="00DA19CD">
        <w:rPr>
          <w:rFonts w:ascii="Arial" w:hAnsi="Arial" w:cs="Arial"/>
          <w:color w:val="000000" w:themeColor="text1"/>
        </w:rPr>
        <w:t xml:space="preserve">Section 40 </w:t>
      </w:r>
      <w:r w:rsidRPr="007A69FA">
        <w:rPr>
          <w:rFonts w:ascii="Arial" w:hAnsi="Arial" w:cs="Arial"/>
          <w:color w:val="000000" w:themeColor="text1"/>
        </w:rPr>
        <w:t xml:space="preserve">of </w:t>
      </w:r>
      <w:r w:rsidRPr="007A69FA" w:rsidR="00DA19CD">
        <w:rPr>
          <w:rFonts w:ascii="Arial" w:hAnsi="Arial" w:cs="Arial"/>
          <w:color w:val="000000" w:themeColor="text1"/>
        </w:rPr>
        <w:t xml:space="preserve">Chapter 8 of </w:t>
      </w:r>
      <w:r w:rsidRPr="007A69FA">
        <w:rPr>
          <w:rFonts w:ascii="Arial" w:hAnsi="Arial" w:cs="Arial"/>
          <w:color w:val="000000" w:themeColor="text1"/>
        </w:rPr>
        <w:t>the Localism Act 2011</w:t>
      </w:r>
      <w:r w:rsidRPr="007A69FA" w:rsidR="00DA19CD">
        <w:rPr>
          <w:rFonts w:ascii="Arial" w:hAnsi="Arial" w:cs="Arial"/>
          <w:color w:val="000000" w:themeColor="text1"/>
        </w:rPr>
        <w:t xml:space="preserve"> and takes account of the Supplementary Guidance published by the Department for Communities and Local Government on 20 February 2013. </w:t>
      </w:r>
      <w:r w:rsidRPr="007A69FA" w:rsidR="00314635">
        <w:rPr>
          <w:rFonts w:ascii="Arial" w:hAnsi="Arial" w:cs="Arial"/>
          <w:color w:val="000000" w:themeColor="text1"/>
        </w:rPr>
        <w:t>I</w:t>
      </w:r>
      <w:r w:rsidRPr="007A69FA">
        <w:rPr>
          <w:rFonts w:ascii="Arial" w:hAnsi="Arial" w:cs="Arial"/>
          <w:color w:val="000000" w:themeColor="text1"/>
        </w:rPr>
        <w:t xml:space="preserve">t </w:t>
      </w:r>
      <w:r w:rsidR="009F3655">
        <w:rPr>
          <w:rFonts w:ascii="Arial" w:hAnsi="Arial" w:cs="Arial"/>
          <w:color w:val="000000" w:themeColor="text1"/>
        </w:rPr>
        <w:t>was</w:t>
      </w:r>
      <w:r w:rsidRPr="007A69FA" w:rsidR="00453988">
        <w:rPr>
          <w:rFonts w:ascii="Arial" w:hAnsi="Arial" w:cs="Arial"/>
          <w:color w:val="000000" w:themeColor="text1"/>
        </w:rPr>
        <w:t xml:space="preserve"> </w:t>
      </w:r>
      <w:r w:rsidRPr="007A69FA" w:rsidR="007A69FA">
        <w:rPr>
          <w:rFonts w:ascii="Arial" w:hAnsi="Arial" w:cs="Arial"/>
          <w:color w:val="000000" w:themeColor="text1"/>
        </w:rPr>
        <w:t>consider</w:t>
      </w:r>
      <w:r w:rsidRPr="007A69FA" w:rsidR="00453988">
        <w:rPr>
          <w:rFonts w:ascii="Arial" w:hAnsi="Arial" w:cs="Arial"/>
          <w:color w:val="000000" w:themeColor="text1"/>
        </w:rPr>
        <w:t>ed</w:t>
      </w:r>
      <w:r w:rsidRPr="007A69FA" w:rsidR="000204BD">
        <w:rPr>
          <w:rFonts w:ascii="Arial" w:hAnsi="Arial" w:cs="Arial"/>
          <w:color w:val="000000" w:themeColor="text1"/>
        </w:rPr>
        <w:t xml:space="preserve"> by the</w:t>
      </w:r>
      <w:r w:rsidRPr="007A69FA" w:rsidR="00F4254F">
        <w:rPr>
          <w:rFonts w:ascii="Arial" w:hAnsi="Arial" w:cs="Arial"/>
          <w:color w:val="000000" w:themeColor="text1"/>
        </w:rPr>
        <w:t xml:space="preserve"> full Council </w:t>
      </w:r>
      <w:r w:rsidRPr="007A69FA" w:rsidR="00581256">
        <w:rPr>
          <w:rFonts w:ascii="Arial" w:hAnsi="Arial" w:cs="Arial"/>
          <w:color w:val="000000" w:themeColor="text1"/>
        </w:rPr>
        <w:t xml:space="preserve">at its </w:t>
      </w:r>
      <w:r w:rsidRPr="007A69FA" w:rsidR="00F4254F">
        <w:rPr>
          <w:rFonts w:ascii="Arial" w:hAnsi="Arial" w:cs="Arial"/>
          <w:color w:val="000000" w:themeColor="text1"/>
        </w:rPr>
        <w:t>meeting on</w:t>
      </w:r>
      <w:r w:rsidR="00497663">
        <w:rPr>
          <w:rFonts w:ascii="Arial" w:hAnsi="Arial" w:cs="Arial"/>
          <w:color w:val="000000" w:themeColor="text1"/>
        </w:rPr>
        <w:t xml:space="preserve"> </w:t>
      </w:r>
      <w:r w:rsidR="001F31E1">
        <w:rPr>
          <w:rFonts w:ascii="Arial" w:hAnsi="Arial" w:cs="Arial"/>
        </w:rPr>
        <w:t>28 February 2024</w:t>
      </w:r>
      <w:r w:rsidRPr="002159AB" w:rsidR="009235F0">
        <w:rPr>
          <w:rFonts w:ascii="Arial" w:hAnsi="Arial" w:cs="Arial"/>
        </w:rPr>
        <w:t>.</w:t>
      </w:r>
      <w:r w:rsidRPr="002159AB">
        <w:rPr>
          <w:rFonts w:ascii="Arial" w:hAnsi="Arial" w:cs="Arial"/>
        </w:rPr>
        <w:t xml:space="preserve"> </w:t>
      </w:r>
      <w:r w:rsidRPr="007A69FA">
        <w:rPr>
          <w:rFonts w:ascii="Arial" w:hAnsi="Arial" w:cs="Arial"/>
          <w:color w:val="000000" w:themeColor="text1"/>
        </w:rPr>
        <w:t>The Council’s website also includes separately published data on salary information relating to Chief Officers and other senior staff in the Statement of Accounts.</w:t>
      </w:r>
    </w:p>
    <w:p w:rsidRPr="007A69FA" w:rsidR="009235F0" w:rsidP="004237F9" w:rsidRDefault="009235F0" w14:paraId="604CBCC9" w14:textId="77777777">
      <w:pPr>
        <w:jc w:val="both"/>
        <w:rPr>
          <w:rFonts w:ascii="Arial" w:hAnsi="Arial" w:cs="Arial"/>
          <w:color w:val="000000" w:themeColor="text1"/>
        </w:rPr>
      </w:pPr>
    </w:p>
    <w:p w:rsidRPr="007A69FA" w:rsidR="00DD46FD" w:rsidP="00CB7178" w:rsidRDefault="00CB7178" w14:paraId="7AF34B4D" w14:textId="77777777">
      <w:pPr>
        <w:rPr>
          <w:rFonts w:ascii="Arial" w:hAnsi="Arial" w:cs="Arial"/>
          <w:b/>
          <w:u w:val="single"/>
        </w:rPr>
      </w:pPr>
      <w:r w:rsidRPr="007A69FA">
        <w:rPr>
          <w:rFonts w:ascii="Arial" w:hAnsi="Arial" w:cs="Arial"/>
          <w:b/>
        </w:rPr>
        <w:t>1.</w:t>
      </w:r>
      <w:r w:rsidRPr="007A69FA">
        <w:rPr>
          <w:rFonts w:ascii="Arial" w:hAnsi="Arial" w:cs="Arial"/>
          <w:b/>
        </w:rPr>
        <w:tab/>
      </w:r>
      <w:r w:rsidRPr="007A69FA" w:rsidR="00DD46FD">
        <w:rPr>
          <w:rFonts w:ascii="Arial" w:hAnsi="Arial" w:cs="Arial"/>
          <w:b/>
          <w:u w:val="single"/>
        </w:rPr>
        <w:t>Introduction and local context:</w:t>
      </w:r>
    </w:p>
    <w:p w:rsidRPr="007A69FA" w:rsidR="00DD46FD" w:rsidP="004237F9" w:rsidRDefault="00DD46FD" w14:paraId="629CB278" w14:textId="77777777">
      <w:pPr>
        <w:jc w:val="both"/>
        <w:rPr>
          <w:rFonts w:ascii="Arial" w:hAnsi="Arial" w:cs="Arial"/>
          <w:b/>
          <w:color w:val="000000" w:themeColor="text1"/>
          <w:u w:val="single"/>
        </w:rPr>
      </w:pPr>
    </w:p>
    <w:p w:rsidRPr="007A69FA" w:rsidR="00DD46FD" w:rsidP="00B115BB" w:rsidRDefault="00DD46FD" w14:paraId="30779C35" w14:textId="71CC38B6">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Hertsmere Borough Council is a district council located adjacent to the outer London boroughs of Harrow, Enfield and Barnet, just 13 miles from the centre of London. There is a high incidence of commuting in the borough, which impacts on the </w:t>
      </w:r>
      <w:r w:rsidRPr="007A69FA" w:rsidR="00453988">
        <w:rPr>
          <w:rFonts w:ascii="Arial" w:hAnsi="Arial" w:cs="Arial"/>
          <w:color w:val="000000" w:themeColor="text1"/>
        </w:rPr>
        <w:t>local employment market</w:t>
      </w:r>
      <w:r w:rsidRPr="007A69FA">
        <w:rPr>
          <w:rFonts w:ascii="Arial" w:hAnsi="Arial" w:cs="Arial"/>
          <w:color w:val="000000" w:themeColor="text1"/>
        </w:rPr>
        <w:t xml:space="preserve"> and levels of pay, particularly for jobs that require skills that are in relatively short supply.</w:t>
      </w:r>
      <w:r w:rsidRPr="007A69FA" w:rsidR="00D565BD">
        <w:rPr>
          <w:rFonts w:ascii="Arial" w:hAnsi="Arial" w:cs="Arial"/>
          <w:color w:val="000000" w:themeColor="text1"/>
        </w:rPr>
        <w:t xml:space="preserve"> </w:t>
      </w:r>
      <w:r w:rsidRPr="007A69FA" w:rsidR="007D604A">
        <w:rPr>
          <w:rFonts w:ascii="Arial" w:hAnsi="Arial" w:cs="Arial"/>
          <w:color w:val="000000" w:themeColor="text1"/>
        </w:rPr>
        <w:t xml:space="preserve">Like many employers in both the private and public sector, recruitment and retention is a key issue, especially in planning, finance, legal, </w:t>
      </w:r>
      <w:r w:rsidR="00C15640">
        <w:rPr>
          <w:rFonts w:ascii="Arial" w:hAnsi="Arial" w:cs="Arial"/>
          <w:color w:val="000000" w:themeColor="text1"/>
        </w:rPr>
        <w:t xml:space="preserve">environmental health, </w:t>
      </w:r>
      <w:r w:rsidRPr="007A69FA" w:rsidR="007D604A">
        <w:rPr>
          <w:rFonts w:ascii="Arial" w:hAnsi="Arial" w:cs="Arial"/>
          <w:color w:val="000000" w:themeColor="text1"/>
        </w:rPr>
        <w:t>estates</w:t>
      </w:r>
      <w:r w:rsidR="00DE2F71">
        <w:rPr>
          <w:rFonts w:ascii="Arial" w:hAnsi="Arial" w:cs="Arial"/>
          <w:color w:val="000000" w:themeColor="text1"/>
        </w:rPr>
        <w:t xml:space="preserve">, street scene </w:t>
      </w:r>
      <w:r w:rsidRPr="007A69FA" w:rsidR="007D604A">
        <w:rPr>
          <w:rFonts w:ascii="Arial" w:hAnsi="Arial" w:cs="Arial"/>
          <w:color w:val="000000" w:themeColor="text1"/>
        </w:rPr>
        <w:t>and parking services. This puts pressure on the Council’s budget and the</w:t>
      </w:r>
      <w:r w:rsidRPr="007A69FA">
        <w:rPr>
          <w:rFonts w:ascii="Arial" w:hAnsi="Arial" w:cs="Arial"/>
          <w:color w:val="000000" w:themeColor="text1"/>
        </w:rPr>
        <w:t xml:space="preserve"> pay strategy and policies </w:t>
      </w:r>
      <w:r w:rsidRPr="007A69FA" w:rsidR="007D604A">
        <w:rPr>
          <w:rFonts w:ascii="Arial" w:hAnsi="Arial" w:cs="Arial"/>
          <w:color w:val="000000" w:themeColor="text1"/>
        </w:rPr>
        <w:t>need</w:t>
      </w:r>
      <w:r w:rsidRPr="007A69FA">
        <w:rPr>
          <w:rFonts w:ascii="Arial" w:hAnsi="Arial" w:cs="Arial"/>
          <w:color w:val="000000" w:themeColor="text1"/>
        </w:rPr>
        <w:t xml:space="preserve"> to continue </w:t>
      </w:r>
      <w:r w:rsidRPr="007A69FA" w:rsidR="007D604A">
        <w:rPr>
          <w:rFonts w:ascii="Arial" w:hAnsi="Arial" w:cs="Arial"/>
          <w:color w:val="000000" w:themeColor="text1"/>
        </w:rPr>
        <w:t>to play</w:t>
      </w:r>
      <w:r w:rsidRPr="007A69FA">
        <w:rPr>
          <w:rFonts w:ascii="Arial" w:hAnsi="Arial" w:cs="Arial"/>
          <w:color w:val="000000" w:themeColor="text1"/>
        </w:rPr>
        <w:t xml:space="preserve"> an important role in attractin</w:t>
      </w:r>
      <w:r w:rsidRPr="007A69FA" w:rsidR="006A5B17">
        <w:rPr>
          <w:rFonts w:ascii="Arial" w:hAnsi="Arial" w:cs="Arial"/>
          <w:color w:val="000000" w:themeColor="text1"/>
        </w:rPr>
        <w:t>g and retaining the best people.</w:t>
      </w:r>
    </w:p>
    <w:p w:rsidRPr="007A69FA" w:rsidR="00DD46FD" w:rsidP="009707AF" w:rsidRDefault="00DD46FD" w14:paraId="77B06555" w14:textId="77777777">
      <w:pPr>
        <w:jc w:val="both"/>
        <w:rPr>
          <w:rFonts w:ascii="Arial" w:hAnsi="Arial" w:cs="Arial"/>
          <w:color w:val="000000" w:themeColor="text1"/>
        </w:rPr>
      </w:pPr>
    </w:p>
    <w:p w:rsidRPr="007A69FA" w:rsidR="00DD46FD" w:rsidP="00B115BB" w:rsidRDefault="00DD46FD" w14:paraId="452C640A" w14:textId="5DEB689E">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Major decisions on pay, such as annual pay awards, are determined for </w:t>
      </w:r>
      <w:proofErr w:type="gramStart"/>
      <w:r w:rsidRPr="007A69FA">
        <w:rPr>
          <w:rFonts w:ascii="Arial" w:hAnsi="Arial" w:cs="Arial"/>
          <w:color w:val="000000" w:themeColor="text1"/>
        </w:rPr>
        <w:t>most</w:t>
      </w:r>
      <w:proofErr w:type="gramEnd"/>
      <w:r w:rsidRPr="007A69FA">
        <w:rPr>
          <w:rFonts w:ascii="Arial" w:hAnsi="Arial" w:cs="Arial"/>
          <w:color w:val="000000" w:themeColor="text1"/>
        </w:rPr>
        <w:t xml:space="preserve"> local authorities in England and Wales by the National Agreement on Pay, arrived at through a system of central collective bargaining between representatives of the Local Government employers and representatives of the relevant trade unions on the National Joint Council.  Hertsmere Borough Council came out of the National Agreement on Pay for its staff more than 20 years ago and has conducted local pay negotiations since that time. </w:t>
      </w:r>
      <w:r w:rsidRPr="007A69FA" w:rsidR="001922E0">
        <w:rPr>
          <w:rFonts w:ascii="Arial" w:hAnsi="Arial" w:cs="Arial"/>
          <w:color w:val="000000" w:themeColor="text1"/>
        </w:rPr>
        <w:t>This also enabled Hertsmere Borough Council to introduce performance related pay progression and there have been no automatic pay increments in the Council for many years now</w:t>
      </w:r>
      <w:r w:rsidRPr="007A69FA" w:rsidR="0020036D">
        <w:rPr>
          <w:rFonts w:ascii="Arial" w:hAnsi="Arial" w:cs="Arial"/>
          <w:color w:val="000000" w:themeColor="text1"/>
        </w:rPr>
        <w:t>.</w:t>
      </w:r>
      <w:r w:rsidRPr="007A69FA" w:rsidR="009A5906">
        <w:rPr>
          <w:rFonts w:ascii="Arial" w:hAnsi="Arial" w:cs="Arial"/>
          <w:color w:val="000000" w:themeColor="text1"/>
        </w:rPr>
        <w:t xml:space="preserve">  T</w:t>
      </w:r>
      <w:r w:rsidRPr="007A69FA">
        <w:rPr>
          <w:rFonts w:ascii="Arial" w:hAnsi="Arial" w:cs="Arial"/>
          <w:color w:val="000000" w:themeColor="text1"/>
        </w:rPr>
        <w:t>he pay structure for the majority of staff is</w:t>
      </w:r>
      <w:r w:rsidRPr="007A69FA" w:rsidR="00093CDE">
        <w:rPr>
          <w:rFonts w:ascii="Arial" w:hAnsi="Arial" w:cs="Arial"/>
          <w:color w:val="000000" w:themeColor="text1"/>
        </w:rPr>
        <w:t xml:space="preserve"> underpinned by the </w:t>
      </w:r>
      <w:proofErr w:type="spellStart"/>
      <w:r w:rsidRPr="007A69FA" w:rsidR="00093CDE">
        <w:rPr>
          <w:rFonts w:ascii="Arial" w:hAnsi="Arial" w:cs="Arial"/>
          <w:color w:val="000000" w:themeColor="text1"/>
        </w:rPr>
        <w:t>Inbucon</w:t>
      </w:r>
      <w:proofErr w:type="spellEnd"/>
      <w:r w:rsidRPr="007A69FA">
        <w:rPr>
          <w:rFonts w:ascii="Arial" w:hAnsi="Arial" w:cs="Arial"/>
          <w:color w:val="000000" w:themeColor="text1"/>
        </w:rPr>
        <w:t xml:space="preserve"> job evaluation scheme (a private sector scheme which has been adapted for local government). However, the </w:t>
      </w:r>
      <w:r w:rsidRPr="007A69FA" w:rsidR="006928DB">
        <w:rPr>
          <w:rFonts w:ascii="Arial" w:hAnsi="Arial" w:cs="Arial"/>
          <w:color w:val="000000" w:themeColor="text1"/>
        </w:rPr>
        <w:t xml:space="preserve">current </w:t>
      </w:r>
      <w:r w:rsidRPr="007A69FA">
        <w:rPr>
          <w:rFonts w:ascii="Arial" w:hAnsi="Arial" w:cs="Arial"/>
          <w:color w:val="000000" w:themeColor="text1"/>
        </w:rPr>
        <w:t xml:space="preserve">pay structure and job evaluation for Heads of Service and </w:t>
      </w:r>
      <w:r w:rsidRPr="007A69FA" w:rsidR="006A5B17">
        <w:rPr>
          <w:rFonts w:ascii="Arial" w:hAnsi="Arial" w:cs="Arial"/>
          <w:color w:val="000000" w:themeColor="text1"/>
        </w:rPr>
        <w:t>Directors</w:t>
      </w:r>
      <w:r w:rsidRPr="007A69FA">
        <w:rPr>
          <w:rFonts w:ascii="Arial" w:hAnsi="Arial" w:cs="Arial"/>
          <w:color w:val="000000" w:themeColor="text1"/>
        </w:rPr>
        <w:t xml:space="preserve"> </w:t>
      </w:r>
      <w:r w:rsidRPr="007A69FA" w:rsidR="00CC4F73">
        <w:rPr>
          <w:rFonts w:ascii="Arial" w:hAnsi="Arial" w:cs="Arial"/>
          <w:color w:val="000000" w:themeColor="text1"/>
        </w:rPr>
        <w:t>is based on the Local Government Association</w:t>
      </w:r>
      <w:r w:rsidR="00783247">
        <w:rPr>
          <w:rFonts w:ascii="Arial" w:hAnsi="Arial" w:cs="Arial"/>
          <w:color w:val="000000" w:themeColor="text1"/>
        </w:rPr>
        <w:t xml:space="preserve"> </w:t>
      </w:r>
      <w:r w:rsidRPr="007A69FA" w:rsidR="00CC4F73">
        <w:rPr>
          <w:rFonts w:ascii="Arial" w:hAnsi="Arial" w:cs="Arial"/>
          <w:color w:val="000000" w:themeColor="text1"/>
        </w:rPr>
        <w:t>(LGA) Senior Managers’ Job Evaluation Scheme adopted in June 2017.</w:t>
      </w:r>
      <w:r w:rsidRPr="007A69FA" w:rsidR="00581256">
        <w:rPr>
          <w:rFonts w:ascii="Arial" w:hAnsi="Arial" w:cs="Arial"/>
          <w:color w:val="000000" w:themeColor="text1"/>
        </w:rPr>
        <w:t xml:space="preserve"> </w:t>
      </w:r>
      <w:r w:rsidRPr="007A69FA" w:rsidR="002D6BF3">
        <w:rPr>
          <w:rFonts w:ascii="Arial" w:hAnsi="Arial" w:cs="Arial"/>
          <w:color w:val="000000" w:themeColor="text1"/>
        </w:rPr>
        <w:t xml:space="preserve">The current senior management structure was </w:t>
      </w:r>
      <w:r w:rsidR="00872DDD">
        <w:rPr>
          <w:rFonts w:ascii="Arial" w:hAnsi="Arial" w:cs="Arial"/>
          <w:color w:val="000000" w:themeColor="text1"/>
        </w:rPr>
        <w:t>amended in 2023</w:t>
      </w:r>
      <w:r w:rsidRPr="007A69FA" w:rsidR="009A5906">
        <w:rPr>
          <w:rFonts w:ascii="Arial" w:hAnsi="Arial" w:cs="Arial"/>
          <w:color w:val="000000" w:themeColor="text1"/>
        </w:rPr>
        <w:t xml:space="preserve"> </w:t>
      </w:r>
      <w:r w:rsidRPr="007A69FA" w:rsidR="002D6BF3">
        <w:rPr>
          <w:rFonts w:ascii="Arial" w:hAnsi="Arial" w:cs="Arial"/>
          <w:color w:val="000000" w:themeColor="text1"/>
        </w:rPr>
        <w:t xml:space="preserve">and now comprises the </w:t>
      </w:r>
      <w:r w:rsidRPr="007A69FA" w:rsidR="00051185">
        <w:rPr>
          <w:rFonts w:ascii="Arial" w:hAnsi="Arial" w:cs="Arial"/>
          <w:color w:val="000000" w:themeColor="text1"/>
        </w:rPr>
        <w:t>Managing Director</w:t>
      </w:r>
      <w:r w:rsidRPr="007A69FA" w:rsidR="002D6BF3">
        <w:rPr>
          <w:rFonts w:ascii="Arial" w:hAnsi="Arial" w:cs="Arial"/>
          <w:color w:val="000000" w:themeColor="text1"/>
        </w:rPr>
        <w:t xml:space="preserve">, one </w:t>
      </w:r>
      <w:r w:rsidRPr="007A69FA" w:rsidR="009235F0">
        <w:rPr>
          <w:rFonts w:ascii="Arial" w:hAnsi="Arial" w:cs="Arial"/>
          <w:color w:val="000000" w:themeColor="text1"/>
        </w:rPr>
        <w:t>Executive Director</w:t>
      </w:r>
      <w:r w:rsidRPr="007A69FA" w:rsidR="002D6BF3">
        <w:rPr>
          <w:rFonts w:ascii="Arial" w:hAnsi="Arial" w:cs="Arial"/>
          <w:color w:val="000000" w:themeColor="text1"/>
        </w:rPr>
        <w:t xml:space="preserve">, </w:t>
      </w:r>
      <w:r w:rsidRPr="007A69FA" w:rsidR="00F87698">
        <w:rPr>
          <w:rFonts w:ascii="Arial" w:hAnsi="Arial" w:cs="Arial"/>
          <w:color w:val="000000" w:themeColor="text1"/>
        </w:rPr>
        <w:t xml:space="preserve">three </w:t>
      </w:r>
      <w:r w:rsidRPr="007A69FA" w:rsidR="002D6BF3">
        <w:rPr>
          <w:rFonts w:ascii="Arial" w:hAnsi="Arial" w:cs="Arial"/>
          <w:color w:val="000000" w:themeColor="text1"/>
        </w:rPr>
        <w:t>Heads of Service Plus and</w:t>
      </w:r>
      <w:r w:rsidRPr="007A69FA" w:rsidR="00E95FF0">
        <w:rPr>
          <w:rFonts w:ascii="Arial" w:hAnsi="Arial" w:cs="Arial"/>
          <w:color w:val="000000" w:themeColor="text1"/>
        </w:rPr>
        <w:t xml:space="preserve"> </w:t>
      </w:r>
      <w:r w:rsidR="002159AB">
        <w:rPr>
          <w:rFonts w:ascii="Arial" w:hAnsi="Arial" w:cs="Arial"/>
          <w:color w:val="000000" w:themeColor="text1"/>
        </w:rPr>
        <w:t>f</w:t>
      </w:r>
      <w:r w:rsidR="00872DDD">
        <w:rPr>
          <w:rFonts w:ascii="Arial" w:hAnsi="Arial" w:cs="Arial"/>
          <w:color w:val="000000" w:themeColor="text1"/>
        </w:rPr>
        <w:t>ive</w:t>
      </w:r>
      <w:r w:rsidRPr="007A69FA" w:rsidR="002159AB">
        <w:rPr>
          <w:rFonts w:ascii="Arial" w:hAnsi="Arial" w:cs="Arial"/>
          <w:color w:val="000000" w:themeColor="text1"/>
        </w:rPr>
        <w:t xml:space="preserve"> </w:t>
      </w:r>
      <w:r w:rsidRPr="007A69FA" w:rsidR="002D6BF3">
        <w:rPr>
          <w:rFonts w:ascii="Arial" w:hAnsi="Arial" w:cs="Arial"/>
          <w:color w:val="000000" w:themeColor="text1"/>
        </w:rPr>
        <w:t>Heads of Service.</w:t>
      </w:r>
    </w:p>
    <w:p w:rsidRPr="007A69FA" w:rsidR="00581256" w:rsidP="009707AF" w:rsidRDefault="00581256" w14:paraId="5306BEB4" w14:textId="77777777">
      <w:pPr>
        <w:ind w:left="993" w:hanging="709"/>
        <w:jc w:val="both"/>
        <w:rPr>
          <w:rFonts w:ascii="Arial" w:hAnsi="Arial" w:cs="Arial"/>
          <w:color w:val="000000" w:themeColor="text1"/>
        </w:rPr>
      </w:pPr>
    </w:p>
    <w:p w:rsidRPr="007A69FA" w:rsidR="007D604A" w:rsidP="00B115BB" w:rsidRDefault="00DD46FD" w14:paraId="44CEEEE2" w14:textId="07910B59">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Decisions on the overall pay strategy and pay policies are taken by the Personnel Committee, subject to the financial implications being agreed by the </w:t>
      </w:r>
      <w:r w:rsidR="00872DDD">
        <w:rPr>
          <w:rFonts w:ascii="Arial" w:hAnsi="Arial" w:cs="Arial"/>
          <w:color w:val="000000" w:themeColor="text1"/>
        </w:rPr>
        <w:t>Cabinet</w:t>
      </w:r>
      <w:r w:rsidRPr="007A69FA" w:rsidR="00872DDD">
        <w:rPr>
          <w:rFonts w:ascii="Arial" w:hAnsi="Arial" w:cs="Arial"/>
          <w:color w:val="000000" w:themeColor="text1"/>
        </w:rPr>
        <w:t xml:space="preserve"> </w:t>
      </w:r>
      <w:r w:rsidRPr="007A69FA">
        <w:rPr>
          <w:rFonts w:ascii="Arial" w:hAnsi="Arial" w:cs="Arial"/>
          <w:color w:val="000000" w:themeColor="text1"/>
        </w:rPr>
        <w:t xml:space="preserve">within the budgetary framework approved by the </w:t>
      </w:r>
      <w:r w:rsidR="00872DDD">
        <w:rPr>
          <w:rFonts w:ascii="Arial" w:hAnsi="Arial" w:cs="Arial"/>
          <w:color w:val="000000" w:themeColor="text1"/>
        </w:rPr>
        <w:t>F</w:t>
      </w:r>
      <w:r w:rsidRPr="007A69FA">
        <w:rPr>
          <w:rFonts w:ascii="Arial" w:hAnsi="Arial" w:cs="Arial"/>
          <w:color w:val="000000" w:themeColor="text1"/>
        </w:rPr>
        <w:t xml:space="preserve">ull Council. The application of agreed pay policies to individual employees below </w:t>
      </w:r>
      <w:r w:rsidRPr="007A69FA" w:rsidR="00F87698">
        <w:rPr>
          <w:rFonts w:ascii="Arial" w:hAnsi="Arial" w:cs="Arial"/>
          <w:color w:val="000000" w:themeColor="text1"/>
        </w:rPr>
        <w:t>Director</w:t>
      </w:r>
      <w:r w:rsidR="00783247">
        <w:rPr>
          <w:rFonts w:ascii="Arial" w:hAnsi="Arial" w:cs="Arial"/>
          <w:color w:val="000000" w:themeColor="text1"/>
        </w:rPr>
        <w:t xml:space="preserve"> </w:t>
      </w:r>
      <w:proofErr w:type="gramStart"/>
      <w:r w:rsidR="00783247">
        <w:rPr>
          <w:rFonts w:ascii="Arial" w:hAnsi="Arial" w:cs="Arial"/>
          <w:color w:val="000000" w:themeColor="text1"/>
        </w:rPr>
        <w:t>level</w:t>
      </w:r>
      <w:proofErr w:type="gramEnd"/>
      <w:r w:rsidR="00783247">
        <w:rPr>
          <w:rFonts w:ascii="Arial" w:hAnsi="Arial" w:cs="Arial"/>
          <w:color w:val="000000" w:themeColor="text1"/>
        </w:rPr>
        <w:t>, is</w:t>
      </w:r>
      <w:r w:rsidRPr="007A69FA">
        <w:rPr>
          <w:rFonts w:ascii="Arial" w:hAnsi="Arial" w:cs="Arial"/>
          <w:color w:val="000000" w:themeColor="text1"/>
        </w:rPr>
        <w:t xml:space="preserve"> the responsibility of the </w:t>
      </w:r>
      <w:r w:rsidRPr="007A69FA" w:rsidR="00051185">
        <w:rPr>
          <w:rFonts w:ascii="Arial" w:hAnsi="Arial" w:cs="Arial"/>
          <w:color w:val="000000" w:themeColor="text1"/>
        </w:rPr>
        <w:t>Managing Director</w:t>
      </w:r>
      <w:r w:rsidRPr="007A69FA">
        <w:rPr>
          <w:rFonts w:ascii="Arial" w:hAnsi="Arial" w:cs="Arial"/>
          <w:color w:val="000000" w:themeColor="text1"/>
        </w:rPr>
        <w:t xml:space="preserve"> as </w:t>
      </w:r>
      <w:r w:rsidRPr="007A69FA">
        <w:rPr>
          <w:rFonts w:ascii="Arial" w:hAnsi="Arial" w:cs="Arial"/>
          <w:color w:val="000000" w:themeColor="text1"/>
        </w:rPr>
        <w:lastRenderedPageBreak/>
        <w:t>Head of the Paid Service, with specific responsibilities delegated to</w:t>
      </w:r>
      <w:r w:rsidRPr="007A69FA" w:rsidR="009235F0">
        <w:rPr>
          <w:rFonts w:ascii="Arial" w:hAnsi="Arial" w:cs="Arial"/>
          <w:color w:val="000000" w:themeColor="text1"/>
        </w:rPr>
        <w:t xml:space="preserve"> the Executive Director</w:t>
      </w:r>
      <w:r w:rsidRPr="007A69FA">
        <w:rPr>
          <w:rFonts w:ascii="Arial" w:hAnsi="Arial" w:cs="Arial"/>
          <w:color w:val="000000" w:themeColor="text1"/>
        </w:rPr>
        <w:t xml:space="preserve"> and other senior officers. </w:t>
      </w:r>
    </w:p>
    <w:p w:rsidRPr="007A69FA" w:rsidR="007D604A" w:rsidP="00B115BB" w:rsidRDefault="007D604A" w14:paraId="51AF38BB" w14:textId="77777777">
      <w:pPr>
        <w:ind w:left="709" w:hanging="709"/>
        <w:jc w:val="both"/>
        <w:rPr>
          <w:rFonts w:ascii="Arial" w:hAnsi="Arial" w:cs="Arial"/>
          <w:color w:val="000000" w:themeColor="text1"/>
        </w:rPr>
      </w:pPr>
    </w:p>
    <w:p w:rsidRPr="007A69FA" w:rsidR="00DD46FD" w:rsidP="00B115BB" w:rsidRDefault="003B4C4E" w14:paraId="4A203599" w14:textId="77777777">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The </w:t>
      </w:r>
      <w:r w:rsidRPr="007A69FA" w:rsidR="00EF0C0F">
        <w:rPr>
          <w:rFonts w:ascii="Arial" w:hAnsi="Arial" w:cs="Arial"/>
          <w:color w:val="000000" w:themeColor="text1"/>
        </w:rPr>
        <w:t xml:space="preserve">application of agreed pay policies to the </w:t>
      </w:r>
      <w:r w:rsidRPr="007A69FA" w:rsidR="00051185">
        <w:rPr>
          <w:rFonts w:ascii="Arial" w:hAnsi="Arial" w:cs="Arial"/>
          <w:color w:val="000000" w:themeColor="text1"/>
        </w:rPr>
        <w:t>Managing Director</w:t>
      </w:r>
      <w:r w:rsidRPr="007A69FA" w:rsidR="00CD7A3E">
        <w:rPr>
          <w:rFonts w:ascii="Arial" w:hAnsi="Arial" w:cs="Arial"/>
          <w:color w:val="000000" w:themeColor="text1"/>
        </w:rPr>
        <w:t>, will be determined by the L</w:t>
      </w:r>
      <w:r w:rsidRPr="007A69FA" w:rsidR="00EF0C0F">
        <w:rPr>
          <w:rFonts w:ascii="Arial" w:hAnsi="Arial" w:cs="Arial"/>
          <w:color w:val="000000" w:themeColor="text1"/>
        </w:rPr>
        <w:t>eader of the Council</w:t>
      </w:r>
      <w:r w:rsidRPr="007A69FA" w:rsidR="00CD7A3E">
        <w:rPr>
          <w:rFonts w:ascii="Arial" w:hAnsi="Arial" w:cs="Arial"/>
          <w:color w:val="000000" w:themeColor="text1"/>
        </w:rPr>
        <w:t xml:space="preserve"> and the </w:t>
      </w:r>
      <w:r w:rsidRPr="007A69FA" w:rsidR="00DD46FD">
        <w:rPr>
          <w:rFonts w:ascii="Arial" w:hAnsi="Arial" w:cs="Arial"/>
          <w:color w:val="000000" w:themeColor="text1"/>
        </w:rPr>
        <w:t xml:space="preserve">application of agreed pay policies to the </w:t>
      </w:r>
      <w:r w:rsidRPr="007A69FA" w:rsidR="00CA15AD">
        <w:rPr>
          <w:rFonts w:ascii="Arial" w:hAnsi="Arial" w:cs="Arial"/>
          <w:color w:val="000000" w:themeColor="text1"/>
        </w:rPr>
        <w:t xml:space="preserve">Executive Director </w:t>
      </w:r>
      <w:r w:rsidRPr="007A69FA" w:rsidR="00CD7A3E">
        <w:rPr>
          <w:rFonts w:ascii="Arial" w:hAnsi="Arial" w:cs="Arial"/>
          <w:color w:val="000000" w:themeColor="text1"/>
        </w:rPr>
        <w:t xml:space="preserve">will be determined by the </w:t>
      </w:r>
      <w:r w:rsidRPr="007A69FA" w:rsidR="00051185">
        <w:rPr>
          <w:rFonts w:ascii="Arial" w:hAnsi="Arial" w:cs="Arial"/>
          <w:color w:val="000000" w:themeColor="text1"/>
        </w:rPr>
        <w:t>Managing Director</w:t>
      </w:r>
      <w:r w:rsidRPr="007A69FA" w:rsidR="00CD7A3E">
        <w:rPr>
          <w:rFonts w:ascii="Arial" w:hAnsi="Arial" w:cs="Arial"/>
          <w:color w:val="000000" w:themeColor="text1"/>
        </w:rPr>
        <w:t xml:space="preserve">. </w:t>
      </w:r>
      <w:r w:rsidRPr="007A69FA" w:rsidR="00DD46FD">
        <w:rPr>
          <w:rFonts w:ascii="Arial" w:hAnsi="Arial" w:cs="Arial"/>
          <w:color w:val="000000" w:themeColor="text1"/>
        </w:rPr>
        <w:t>The application of agreed pay policies to Head</w:t>
      </w:r>
      <w:r w:rsidRPr="007A69FA" w:rsidR="00CD7A3E">
        <w:rPr>
          <w:rFonts w:ascii="Arial" w:hAnsi="Arial" w:cs="Arial"/>
          <w:color w:val="000000" w:themeColor="text1"/>
        </w:rPr>
        <w:t xml:space="preserve">s </w:t>
      </w:r>
      <w:r w:rsidRPr="007A69FA" w:rsidR="00DD46FD">
        <w:rPr>
          <w:rFonts w:ascii="Arial" w:hAnsi="Arial" w:cs="Arial"/>
          <w:color w:val="000000" w:themeColor="text1"/>
        </w:rPr>
        <w:t xml:space="preserve">of Service </w:t>
      </w:r>
      <w:r w:rsidRPr="007A69FA" w:rsidR="00CD7A3E">
        <w:rPr>
          <w:rFonts w:ascii="Arial" w:hAnsi="Arial" w:cs="Arial"/>
          <w:color w:val="000000" w:themeColor="text1"/>
        </w:rPr>
        <w:t xml:space="preserve">(as Deputy </w:t>
      </w:r>
      <w:r w:rsidRPr="007A69FA" w:rsidR="00F87698">
        <w:rPr>
          <w:rFonts w:ascii="Arial" w:hAnsi="Arial" w:cs="Arial"/>
          <w:color w:val="000000" w:themeColor="text1"/>
        </w:rPr>
        <w:t>Directors</w:t>
      </w:r>
      <w:r w:rsidRPr="007A69FA" w:rsidR="00CD7A3E">
        <w:rPr>
          <w:rFonts w:ascii="Arial" w:hAnsi="Arial" w:cs="Arial"/>
          <w:color w:val="000000" w:themeColor="text1"/>
        </w:rPr>
        <w:t xml:space="preserve">) is also </w:t>
      </w:r>
      <w:r w:rsidRPr="007A69FA" w:rsidR="00DD46FD">
        <w:rPr>
          <w:rFonts w:ascii="Arial" w:hAnsi="Arial" w:cs="Arial"/>
          <w:color w:val="000000" w:themeColor="text1"/>
        </w:rPr>
        <w:t xml:space="preserve">the responsibility of the </w:t>
      </w:r>
      <w:r w:rsidRPr="007A69FA" w:rsidR="00051185">
        <w:rPr>
          <w:rFonts w:ascii="Arial" w:hAnsi="Arial" w:cs="Arial"/>
          <w:color w:val="000000" w:themeColor="text1"/>
        </w:rPr>
        <w:t>Managing Director</w:t>
      </w:r>
      <w:r w:rsidRPr="007A69FA" w:rsidR="00DD46FD">
        <w:rPr>
          <w:rFonts w:ascii="Arial" w:hAnsi="Arial" w:cs="Arial"/>
          <w:color w:val="000000" w:themeColor="text1"/>
        </w:rPr>
        <w:t xml:space="preserve"> in conjunction with the </w:t>
      </w:r>
      <w:r w:rsidRPr="007A69FA" w:rsidR="00CA15AD">
        <w:rPr>
          <w:rFonts w:ascii="Arial" w:hAnsi="Arial" w:cs="Arial"/>
          <w:color w:val="000000" w:themeColor="text1"/>
        </w:rPr>
        <w:t>Executive Director.</w:t>
      </w:r>
    </w:p>
    <w:p w:rsidRPr="007A69FA" w:rsidR="00DD46FD" w:rsidP="00B115BB" w:rsidRDefault="00DD46FD" w14:paraId="50B51C5A" w14:textId="77777777">
      <w:pPr>
        <w:ind w:left="709" w:hanging="709"/>
        <w:jc w:val="both"/>
        <w:rPr>
          <w:rFonts w:ascii="Arial" w:hAnsi="Arial" w:cs="Arial"/>
          <w:color w:val="000000" w:themeColor="text1"/>
        </w:rPr>
      </w:pPr>
    </w:p>
    <w:p w:rsidR="00DF33A0" w:rsidP="00932CCA" w:rsidRDefault="00CD7A3E" w14:paraId="54EDEC96" w14:textId="242AFB87">
      <w:pPr>
        <w:ind w:left="709" w:hanging="709"/>
        <w:rPr>
          <w:rFonts w:ascii="Arial" w:hAnsi="Arial" w:cs="Arial"/>
          <w:color w:val="000000" w:themeColor="text1"/>
        </w:rPr>
      </w:pPr>
      <w:r w:rsidRPr="007A69FA">
        <w:rPr>
          <w:rFonts w:ascii="Arial" w:hAnsi="Arial" w:cs="Arial"/>
          <w:color w:val="000000" w:themeColor="text1"/>
        </w:rPr>
        <w:t>1.</w:t>
      </w:r>
      <w:r w:rsidRPr="007A69FA" w:rsidR="004237F9">
        <w:rPr>
          <w:rFonts w:ascii="Arial" w:hAnsi="Arial" w:cs="Arial"/>
          <w:color w:val="000000" w:themeColor="text1"/>
        </w:rPr>
        <w:t>5</w:t>
      </w:r>
      <w:r w:rsidRPr="007A69FA">
        <w:rPr>
          <w:rFonts w:ascii="Arial" w:hAnsi="Arial" w:cs="Arial"/>
          <w:color w:val="000000" w:themeColor="text1"/>
        </w:rPr>
        <w:tab/>
      </w:r>
      <w:r w:rsidRPr="007A69FA" w:rsidR="00A75CA9">
        <w:rPr>
          <w:rFonts w:ascii="Arial" w:hAnsi="Arial" w:cs="Arial"/>
          <w:color w:val="000000" w:themeColor="text1"/>
        </w:rPr>
        <w:t>Excluding apprentices, t</w:t>
      </w:r>
      <w:r w:rsidRPr="007A69FA" w:rsidR="00DD46FD">
        <w:rPr>
          <w:rFonts w:ascii="Arial" w:hAnsi="Arial" w:cs="Arial"/>
          <w:color w:val="000000" w:themeColor="text1"/>
        </w:rPr>
        <w:t>he lowest paid employees in the Council are in jobs that were formerly designated as manual workers. Single Status was implemented in 2007 to harmonise the principal terms and conditions of these employees with other staff.</w:t>
      </w:r>
      <w:r w:rsidRPr="007A69FA" w:rsidDel="00A75CA9" w:rsidR="00A75CA9">
        <w:rPr>
          <w:rFonts w:ascii="Arial" w:hAnsi="Arial" w:cs="Arial"/>
          <w:color w:val="000000" w:themeColor="text1"/>
        </w:rPr>
        <w:t xml:space="preserve"> </w:t>
      </w:r>
      <w:r w:rsidRPr="007A69FA" w:rsidR="004E709B">
        <w:rPr>
          <w:rFonts w:ascii="Arial" w:hAnsi="Arial" w:cs="Arial"/>
          <w:color w:val="000000" w:themeColor="text1"/>
        </w:rPr>
        <w:br/>
      </w:r>
    </w:p>
    <w:p w:rsidR="00D44088" w:rsidP="004E709B" w:rsidRDefault="00DF33A0" w14:paraId="3AA0F704" w14:textId="0ED1DE07">
      <w:pPr>
        <w:ind w:left="709" w:hanging="709"/>
        <w:rPr>
          <w:rFonts w:ascii="Arial" w:hAnsi="Arial" w:cs="Arial"/>
        </w:rPr>
      </w:pPr>
      <w:r>
        <w:rPr>
          <w:rFonts w:ascii="Arial" w:hAnsi="Arial" w:cs="Arial"/>
          <w:color w:val="000000" w:themeColor="text1"/>
        </w:rPr>
        <w:t>1.7</w:t>
      </w:r>
      <w:r>
        <w:rPr>
          <w:rFonts w:ascii="Arial" w:hAnsi="Arial" w:cs="Arial"/>
          <w:color w:val="000000" w:themeColor="text1"/>
        </w:rPr>
        <w:tab/>
      </w:r>
      <w:r w:rsidRPr="00274619" w:rsidR="00B25894">
        <w:rPr>
          <w:rFonts w:ascii="Arial" w:hAnsi="Arial" w:cs="Arial"/>
        </w:rPr>
        <w:t xml:space="preserve">In April </w:t>
      </w:r>
      <w:r w:rsidRPr="00274619" w:rsidR="00872DDD">
        <w:rPr>
          <w:rFonts w:ascii="Arial" w:hAnsi="Arial" w:cs="Arial"/>
        </w:rPr>
        <w:t>202</w:t>
      </w:r>
      <w:r w:rsidR="00872DDD">
        <w:rPr>
          <w:rFonts w:ascii="Arial" w:hAnsi="Arial" w:cs="Arial"/>
        </w:rPr>
        <w:t>3</w:t>
      </w:r>
      <w:r w:rsidRPr="00274619" w:rsidR="00872DDD">
        <w:rPr>
          <w:rFonts w:ascii="Arial" w:hAnsi="Arial" w:cs="Arial"/>
        </w:rPr>
        <w:t xml:space="preserve"> </w:t>
      </w:r>
      <w:r w:rsidR="00D44088">
        <w:rPr>
          <w:rFonts w:ascii="Arial" w:hAnsi="Arial" w:cs="Arial"/>
        </w:rPr>
        <w:t xml:space="preserve">there was </w:t>
      </w:r>
      <w:r w:rsidRPr="00274619" w:rsidR="00B25894">
        <w:rPr>
          <w:rFonts w:ascii="Arial" w:hAnsi="Arial" w:cs="Arial"/>
        </w:rPr>
        <w:t xml:space="preserve">a pay award of </w:t>
      </w:r>
      <w:r w:rsidR="00175469">
        <w:rPr>
          <w:rFonts w:ascii="Arial" w:hAnsi="Arial" w:cs="Arial"/>
        </w:rPr>
        <w:t>5</w:t>
      </w:r>
      <w:r w:rsidRPr="00274619" w:rsidR="00B25894">
        <w:rPr>
          <w:rFonts w:ascii="Arial" w:hAnsi="Arial" w:cs="Arial"/>
        </w:rPr>
        <w:t>%</w:t>
      </w:r>
      <w:r w:rsidR="00932CCA">
        <w:rPr>
          <w:rFonts w:ascii="Arial" w:hAnsi="Arial" w:cs="Arial"/>
        </w:rPr>
        <w:t xml:space="preserve"> </w:t>
      </w:r>
      <w:r w:rsidR="00175469">
        <w:rPr>
          <w:rFonts w:ascii="Arial" w:hAnsi="Arial" w:cs="Arial"/>
        </w:rPr>
        <w:t xml:space="preserve">or £2000 (whichever the greater) </w:t>
      </w:r>
      <w:r w:rsidR="00932CCA">
        <w:rPr>
          <w:rFonts w:ascii="Arial" w:hAnsi="Arial" w:cs="Arial"/>
        </w:rPr>
        <w:t>for all staff (except those subject to a formal sanction)</w:t>
      </w:r>
      <w:r w:rsidR="008D2C07">
        <w:rPr>
          <w:rFonts w:ascii="Arial" w:hAnsi="Arial" w:cs="Arial"/>
        </w:rPr>
        <w:t>.</w:t>
      </w:r>
      <w:r w:rsidR="00D44088">
        <w:rPr>
          <w:rFonts w:ascii="Arial" w:hAnsi="Arial" w:cs="Arial"/>
        </w:rPr>
        <w:br/>
      </w:r>
    </w:p>
    <w:p w:rsidR="00D44088" w:rsidP="004E709B" w:rsidRDefault="00D44088" w14:paraId="7093D04A" w14:textId="20AED201">
      <w:pPr>
        <w:ind w:left="709" w:hanging="709"/>
        <w:rPr>
          <w:rFonts w:ascii="Arial" w:hAnsi="Arial" w:cs="Arial"/>
        </w:rPr>
      </w:pPr>
      <w:r>
        <w:rPr>
          <w:rFonts w:ascii="Arial" w:hAnsi="Arial" w:cs="Arial"/>
          <w:color w:val="000000" w:themeColor="text1"/>
        </w:rPr>
        <w:t>1.8</w:t>
      </w:r>
      <w:r>
        <w:rPr>
          <w:rFonts w:ascii="Arial" w:hAnsi="Arial" w:cs="Arial"/>
          <w:color w:val="000000" w:themeColor="text1"/>
        </w:rPr>
        <w:tab/>
        <w:t xml:space="preserve">In April </w:t>
      </w:r>
      <w:r w:rsidR="00175469">
        <w:rPr>
          <w:rFonts w:ascii="Arial" w:hAnsi="Arial" w:cs="Arial"/>
          <w:color w:val="000000" w:themeColor="text1"/>
        </w:rPr>
        <w:t xml:space="preserve">2024 </w:t>
      </w:r>
      <w:r w:rsidR="009F3655">
        <w:rPr>
          <w:rFonts w:ascii="Arial" w:hAnsi="Arial" w:cs="Arial"/>
          <w:color w:val="000000" w:themeColor="text1"/>
        </w:rPr>
        <w:t xml:space="preserve">there will be </w:t>
      </w:r>
      <w:r w:rsidR="00FC7B98">
        <w:rPr>
          <w:rFonts w:ascii="Arial" w:hAnsi="Arial" w:cs="Arial"/>
          <w:color w:val="000000" w:themeColor="text1"/>
        </w:rPr>
        <w:t xml:space="preserve">an </w:t>
      </w:r>
      <w:r w:rsidR="00932CCA">
        <w:rPr>
          <w:rFonts w:ascii="Arial" w:hAnsi="Arial" w:cs="Arial"/>
          <w:color w:val="000000" w:themeColor="text1"/>
        </w:rPr>
        <w:t xml:space="preserve">award of </w:t>
      </w:r>
      <w:r w:rsidR="00175469">
        <w:rPr>
          <w:rFonts w:ascii="Arial" w:hAnsi="Arial" w:cs="Arial"/>
          <w:color w:val="000000" w:themeColor="text1"/>
        </w:rPr>
        <w:t>4</w:t>
      </w:r>
      <w:r w:rsidR="00FC7B98">
        <w:rPr>
          <w:rFonts w:ascii="Arial" w:hAnsi="Arial" w:cs="Arial"/>
          <w:color w:val="000000" w:themeColor="text1"/>
        </w:rPr>
        <w:t>%</w:t>
      </w:r>
      <w:r w:rsidR="00C232AE">
        <w:rPr>
          <w:rFonts w:ascii="Arial" w:hAnsi="Arial" w:cs="Arial"/>
          <w:color w:val="000000" w:themeColor="text1"/>
        </w:rPr>
        <w:t xml:space="preserve"> </w:t>
      </w:r>
      <w:r w:rsidR="00D04098">
        <w:rPr>
          <w:rFonts w:ascii="Arial" w:hAnsi="Arial" w:cs="Arial"/>
          <w:color w:val="000000" w:themeColor="text1"/>
        </w:rPr>
        <w:t xml:space="preserve">for all staff </w:t>
      </w:r>
      <w:r w:rsidR="009F3655">
        <w:rPr>
          <w:rFonts w:ascii="Arial" w:hAnsi="Arial" w:cs="Arial"/>
        </w:rPr>
        <w:t>(except those subject to a formal sanction).</w:t>
      </w:r>
      <w:r>
        <w:rPr>
          <w:rFonts w:ascii="Arial" w:hAnsi="Arial" w:cs="Arial"/>
        </w:rPr>
        <w:br/>
      </w:r>
    </w:p>
    <w:p w:rsidRPr="007A69FA" w:rsidR="009A471A" w:rsidP="004E709B" w:rsidRDefault="00D44088" w14:paraId="469A1BA5" w14:textId="14B5C6A3">
      <w:pPr>
        <w:ind w:left="709" w:hanging="709"/>
        <w:rPr>
          <w:rFonts w:ascii="Arial" w:hAnsi="Arial" w:cs="Arial"/>
          <w:b/>
          <w:color w:val="000000" w:themeColor="text1"/>
        </w:rPr>
      </w:pPr>
      <w:r>
        <w:rPr>
          <w:rFonts w:ascii="Arial" w:hAnsi="Arial" w:cs="Arial"/>
        </w:rPr>
        <w:t>1.9</w:t>
      </w:r>
      <w:r>
        <w:rPr>
          <w:rFonts w:ascii="Arial" w:hAnsi="Arial" w:cs="Arial"/>
        </w:rPr>
        <w:tab/>
      </w:r>
      <w:r w:rsidR="00D04098">
        <w:rPr>
          <w:rFonts w:ascii="Arial" w:hAnsi="Arial" w:cs="Arial"/>
        </w:rPr>
        <w:t>The p</w:t>
      </w:r>
      <w:r w:rsidRPr="00274619" w:rsidR="00B25894">
        <w:rPr>
          <w:rFonts w:ascii="Arial" w:hAnsi="Arial" w:cs="Arial"/>
        </w:rPr>
        <w:t xml:space="preserve">ay-scales for </w:t>
      </w:r>
      <w:r w:rsidRPr="00274619" w:rsidR="00175469">
        <w:rPr>
          <w:rFonts w:ascii="Arial" w:hAnsi="Arial" w:cs="Arial"/>
        </w:rPr>
        <w:t>202</w:t>
      </w:r>
      <w:r w:rsidR="00175469">
        <w:rPr>
          <w:rFonts w:ascii="Arial" w:hAnsi="Arial" w:cs="Arial"/>
        </w:rPr>
        <w:t>3</w:t>
      </w:r>
      <w:r w:rsidRPr="00274619" w:rsidR="00B25894">
        <w:rPr>
          <w:rFonts w:ascii="Arial" w:hAnsi="Arial" w:cs="Arial"/>
        </w:rPr>
        <w:t>/</w:t>
      </w:r>
      <w:r w:rsidRPr="00274619" w:rsidR="00175469">
        <w:rPr>
          <w:rFonts w:ascii="Arial" w:hAnsi="Arial" w:cs="Arial"/>
        </w:rPr>
        <w:t>2</w:t>
      </w:r>
      <w:r w:rsidR="00175469">
        <w:rPr>
          <w:rFonts w:ascii="Arial" w:hAnsi="Arial" w:cs="Arial"/>
        </w:rPr>
        <w:t xml:space="preserve">4 </w:t>
      </w:r>
      <w:r>
        <w:rPr>
          <w:rFonts w:ascii="Arial" w:hAnsi="Arial" w:cs="Arial"/>
        </w:rPr>
        <w:t xml:space="preserve">and </w:t>
      </w:r>
      <w:r w:rsidR="00C324BF">
        <w:rPr>
          <w:rFonts w:ascii="Arial" w:hAnsi="Arial" w:cs="Arial"/>
        </w:rPr>
        <w:t xml:space="preserve">the </w:t>
      </w:r>
      <w:r w:rsidR="00D04098">
        <w:rPr>
          <w:rFonts w:ascii="Arial" w:hAnsi="Arial" w:cs="Arial"/>
        </w:rPr>
        <w:t xml:space="preserve">pay-scales for </w:t>
      </w:r>
      <w:r w:rsidR="00175469">
        <w:rPr>
          <w:rFonts w:ascii="Arial" w:hAnsi="Arial" w:cs="Arial"/>
        </w:rPr>
        <w:t>2024</w:t>
      </w:r>
      <w:r>
        <w:rPr>
          <w:rFonts w:ascii="Arial" w:hAnsi="Arial" w:cs="Arial"/>
        </w:rPr>
        <w:t>/</w:t>
      </w:r>
      <w:r w:rsidR="00175469">
        <w:rPr>
          <w:rFonts w:ascii="Arial" w:hAnsi="Arial" w:cs="Arial"/>
        </w:rPr>
        <w:t>25</w:t>
      </w:r>
      <w:r w:rsidR="00ED0DC0">
        <w:rPr>
          <w:rFonts w:ascii="Arial" w:hAnsi="Arial" w:cs="Arial"/>
        </w:rPr>
        <w:t xml:space="preserve"> </w:t>
      </w:r>
      <w:r w:rsidRPr="00274619" w:rsidR="00B25894">
        <w:rPr>
          <w:rFonts w:ascii="Arial" w:hAnsi="Arial" w:cs="Arial"/>
        </w:rPr>
        <w:t>are shown below in section</w:t>
      </w:r>
      <w:r w:rsidRPr="00274619" w:rsidR="00274619">
        <w:rPr>
          <w:rFonts w:ascii="Arial" w:hAnsi="Arial" w:cs="Arial"/>
        </w:rPr>
        <w:t>s</w:t>
      </w:r>
      <w:r w:rsidRPr="00274619" w:rsidR="00B25894">
        <w:rPr>
          <w:rFonts w:ascii="Arial" w:hAnsi="Arial" w:cs="Arial"/>
        </w:rPr>
        <w:t xml:space="preserve"> 2</w:t>
      </w:r>
      <w:r w:rsidRPr="00274619" w:rsidR="00274619">
        <w:rPr>
          <w:rFonts w:ascii="Arial" w:hAnsi="Arial" w:cs="Arial"/>
        </w:rPr>
        <w:t xml:space="preserve"> - 5</w:t>
      </w:r>
      <w:r w:rsidRPr="00274619" w:rsidR="00B25894">
        <w:rPr>
          <w:rFonts w:ascii="Arial" w:hAnsi="Arial" w:cs="Arial"/>
        </w:rPr>
        <w:t>.</w:t>
      </w:r>
      <w:r w:rsidRPr="007A69FA" w:rsidR="00F87698">
        <w:rPr>
          <w:rFonts w:ascii="Arial" w:hAnsi="Arial" w:cs="Arial"/>
          <w:color w:val="000000" w:themeColor="text1"/>
        </w:rPr>
        <w:br/>
      </w:r>
    </w:p>
    <w:p w:rsidRPr="007A69FA" w:rsidR="00DD46FD" w:rsidP="00B115BB" w:rsidRDefault="00DD46FD" w14:paraId="21236B06" w14:textId="77777777">
      <w:pPr>
        <w:pStyle w:val="ListParagraph"/>
        <w:numPr>
          <w:ilvl w:val="0"/>
          <w:numId w:val="1"/>
        </w:numPr>
        <w:tabs>
          <w:tab w:val="clear" w:pos="1080"/>
        </w:tabs>
        <w:ind w:left="709" w:hanging="639"/>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 xml:space="preserve">The Remuneration of the </w:t>
      </w:r>
      <w:r w:rsidRPr="007A69FA" w:rsidR="00051185">
        <w:rPr>
          <w:rFonts w:ascii="Arial" w:hAnsi="Arial" w:cs="Arial"/>
          <w:b/>
          <w:color w:val="000000" w:themeColor="text1"/>
          <w:sz w:val="24"/>
          <w:szCs w:val="24"/>
          <w:u w:val="single"/>
        </w:rPr>
        <w:t>Managing Director</w:t>
      </w:r>
      <w:r w:rsidRPr="007A69FA">
        <w:rPr>
          <w:rFonts w:ascii="Arial" w:hAnsi="Arial" w:cs="Arial"/>
          <w:b/>
          <w:color w:val="000000" w:themeColor="text1"/>
          <w:sz w:val="24"/>
          <w:szCs w:val="24"/>
        </w:rPr>
        <w:t>:</w:t>
      </w:r>
    </w:p>
    <w:p w:rsidRPr="007A69FA" w:rsidR="0020036D" w:rsidP="00B115BB" w:rsidRDefault="009B319C" w14:paraId="66CD961A" w14:textId="77777777">
      <w:pPr>
        <w:ind w:left="709" w:hanging="639"/>
        <w:jc w:val="both"/>
        <w:rPr>
          <w:rFonts w:ascii="Arial" w:hAnsi="Arial" w:cs="Arial"/>
          <w:color w:val="000000" w:themeColor="text1"/>
        </w:rPr>
      </w:pPr>
      <w:r w:rsidRPr="007A69FA">
        <w:rPr>
          <w:rFonts w:ascii="Arial" w:hAnsi="Arial" w:cs="Arial"/>
          <w:color w:val="000000" w:themeColor="text1"/>
        </w:rPr>
        <w:t>2.1</w:t>
      </w:r>
      <w:r w:rsidRPr="007A69FA" w:rsidR="00E04AF0">
        <w:rPr>
          <w:rFonts w:ascii="Arial" w:hAnsi="Arial" w:cs="Arial"/>
          <w:color w:val="000000" w:themeColor="text1"/>
        </w:rPr>
        <w:tab/>
        <w:t xml:space="preserve">The pay scales for the </w:t>
      </w:r>
      <w:r w:rsidRPr="007A69FA" w:rsidR="00051185">
        <w:rPr>
          <w:rFonts w:ascii="Arial" w:hAnsi="Arial" w:cs="Arial"/>
          <w:color w:val="000000" w:themeColor="text1"/>
        </w:rPr>
        <w:t>Managing Director</w:t>
      </w:r>
      <w:r w:rsidRPr="007A69FA" w:rsidR="00E04AF0">
        <w:rPr>
          <w:rFonts w:ascii="Arial" w:hAnsi="Arial" w:cs="Arial"/>
          <w:color w:val="000000" w:themeColor="text1"/>
        </w:rPr>
        <w:t>, are set out in</w:t>
      </w:r>
      <w:r w:rsidRPr="007A69FA">
        <w:rPr>
          <w:rFonts w:ascii="Arial" w:hAnsi="Arial" w:cs="Arial"/>
          <w:color w:val="000000" w:themeColor="text1"/>
        </w:rPr>
        <w:t xml:space="preserve"> Table A</w:t>
      </w:r>
      <w:r w:rsidRPr="007A69FA" w:rsidR="00516D64">
        <w:rPr>
          <w:rFonts w:ascii="Arial" w:hAnsi="Arial" w:cs="Arial"/>
          <w:color w:val="000000" w:themeColor="text1"/>
        </w:rPr>
        <w:t>:</w:t>
      </w:r>
    </w:p>
    <w:p w:rsidRPr="007A69FA" w:rsidR="00730161" w:rsidP="00274619" w:rsidRDefault="00730161" w14:paraId="780443E0" w14:textId="77777777">
      <w:pPr>
        <w:jc w:val="both"/>
        <w:rPr>
          <w:rFonts w:ascii="Arial" w:hAnsi="Arial" w:cs="Arial"/>
          <w:color w:val="000000" w:themeColor="text1"/>
        </w:rPr>
      </w:pPr>
    </w:p>
    <w:tbl>
      <w:tblPr>
        <w:tblStyle w:val="TableGrid"/>
        <w:tblW w:w="6521" w:type="dxa"/>
        <w:tblInd w:w="704" w:type="dxa"/>
        <w:tblLook w:val="04A0" w:firstRow="1" w:lastRow="0" w:firstColumn="1" w:lastColumn="0" w:noHBand="0" w:noVBand="1"/>
      </w:tblPr>
      <w:tblGrid>
        <w:gridCol w:w="1903"/>
        <w:gridCol w:w="2160"/>
        <w:gridCol w:w="2458"/>
      </w:tblGrid>
      <w:tr w:rsidRPr="007A69FA" w:rsidR="00C324BF" w:rsidTr="00C70751" w14:paraId="0F8FC79D" w14:textId="1D1B8D07">
        <w:tc>
          <w:tcPr>
            <w:tcW w:w="6521" w:type="dxa"/>
            <w:gridSpan w:val="3"/>
            <w:tcBorders>
              <w:left w:val="single" w:color="auto" w:sz="4" w:space="0"/>
            </w:tcBorders>
          </w:tcPr>
          <w:p w:rsidRPr="007A69FA" w:rsidR="00C324BF" w:rsidP="00B25894" w:rsidRDefault="00C324BF" w14:paraId="44FDF858" w14:textId="17CA86BE">
            <w:pPr>
              <w:ind w:left="567" w:hanging="497"/>
              <w:rPr>
                <w:rFonts w:ascii="Arial" w:hAnsi="Arial" w:cs="Arial"/>
                <w:b/>
                <w:color w:val="000000" w:themeColor="text1"/>
              </w:rPr>
            </w:pPr>
            <w:r w:rsidRPr="007A69FA">
              <w:rPr>
                <w:rFonts w:ascii="Arial" w:hAnsi="Arial" w:cs="Arial"/>
                <w:b/>
                <w:color w:val="000000" w:themeColor="text1"/>
              </w:rPr>
              <w:t>TABLE A</w:t>
            </w:r>
            <w:r>
              <w:rPr>
                <w:rFonts w:ascii="Arial" w:hAnsi="Arial" w:cs="Arial"/>
                <w:b/>
                <w:color w:val="000000" w:themeColor="text1"/>
              </w:rPr>
              <w:t xml:space="preserve"> - </w:t>
            </w:r>
            <w:r w:rsidRPr="007A69FA">
              <w:rPr>
                <w:rFonts w:ascii="Arial" w:hAnsi="Arial" w:cs="Arial"/>
                <w:b/>
                <w:bCs/>
                <w:color w:val="000000" w:themeColor="text1"/>
                <w:lang w:eastAsia="en-GB"/>
              </w:rPr>
              <w:t>Managing Director</w:t>
            </w:r>
            <w:r>
              <w:rPr>
                <w:rFonts w:ascii="Arial" w:hAnsi="Arial" w:cs="Arial"/>
                <w:b/>
                <w:bCs/>
                <w:color w:val="000000" w:themeColor="text1"/>
                <w:lang w:eastAsia="en-GB"/>
              </w:rPr>
              <w:t xml:space="preserve"> </w:t>
            </w:r>
            <w:r w:rsidRPr="007A69FA">
              <w:rPr>
                <w:rFonts w:ascii="Arial" w:hAnsi="Arial" w:cs="Arial"/>
                <w:b/>
                <w:bCs/>
                <w:color w:val="000000" w:themeColor="text1"/>
                <w:lang w:eastAsia="en-GB"/>
              </w:rPr>
              <w:t>Pay Scale</w:t>
            </w:r>
          </w:p>
        </w:tc>
      </w:tr>
      <w:tr w:rsidRPr="007A69FA" w:rsidR="00C324BF" w:rsidTr="00C70751" w14:paraId="34E2B271" w14:textId="5E2D27A7">
        <w:tc>
          <w:tcPr>
            <w:tcW w:w="1903" w:type="dxa"/>
            <w:tcBorders>
              <w:left w:val="single" w:color="auto" w:sz="4" w:space="0"/>
            </w:tcBorders>
          </w:tcPr>
          <w:p w:rsidRPr="007A69FA" w:rsidR="00C324BF" w:rsidP="00B25894" w:rsidRDefault="00C324BF" w14:paraId="19E9928D" w14:textId="77777777">
            <w:pPr>
              <w:ind w:left="567" w:hanging="497"/>
              <w:rPr>
                <w:rFonts w:ascii="Arial" w:hAnsi="Arial" w:cs="Arial"/>
                <w:color w:val="000000" w:themeColor="text1"/>
              </w:rPr>
            </w:pPr>
            <w:r w:rsidRPr="007A69FA">
              <w:rPr>
                <w:rFonts w:ascii="Arial" w:hAnsi="Arial" w:cs="Arial"/>
                <w:color w:val="000000" w:themeColor="text1"/>
                <w:lang w:eastAsia="en-GB"/>
              </w:rPr>
              <w:t>Scale Point</w:t>
            </w:r>
          </w:p>
        </w:tc>
        <w:tc>
          <w:tcPr>
            <w:tcW w:w="2160" w:type="dxa"/>
          </w:tcPr>
          <w:p w:rsidRPr="007A69FA" w:rsidR="00C324BF" w:rsidP="00175469" w:rsidRDefault="00C324BF" w14:paraId="355910B5" w14:textId="7E3B5FED">
            <w:pPr>
              <w:ind w:left="567" w:hanging="497"/>
              <w:rPr>
                <w:rFonts w:ascii="Arial" w:hAnsi="Arial" w:cs="Arial"/>
                <w:color w:val="000000" w:themeColor="text1"/>
                <w:lang w:eastAsia="en-GB"/>
              </w:rPr>
            </w:pPr>
            <w:r w:rsidRPr="007A69FA">
              <w:rPr>
                <w:rFonts w:ascii="Arial" w:hAnsi="Arial" w:cs="Arial"/>
                <w:color w:val="000000" w:themeColor="text1"/>
                <w:lang w:eastAsia="en-GB"/>
              </w:rPr>
              <w:t>Salary</w:t>
            </w:r>
            <w:r>
              <w:rPr>
                <w:rFonts w:ascii="Arial" w:hAnsi="Arial" w:cs="Arial"/>
                <w:color w:val="000000" w:themeColor="text1"/>
                <w:lang w:eastAsia="en-GB"/>
              </w:rPr>
              <w:t xml:space="preserve"> </w:t>
            </w:r>
            <w:r w:rsidR="00175469">
              <w:rPr>
                <w:rFonts w:ascii="Arial" w:hAnsi="Arial" w:cs="Arial"/>
                <w:color w:val="000000" w:themeColor="text1"/>
                <w:lang w:eastAsia="en-GB"/>
              </w:rPr>
              <w:t>23/24</w:t>
            </w:r>
          </w:p>
        </w:tc>
        <w:tc>
          <w:tcPr>
            <w:tcW w:w="2458" w:type="dxa"/>
          </w:tcPr>
          <w:p w:rsidR="00CA28FD" w:rsidP="00CA28FD" w:rsidRDefault="00C324BF" w14:paraId="6716D250" w14:textId="1C92136A">
            <w:pPr>
              <w:ind w:left="567" w:hanging="497"/>
              <w:jc w:val="center"/>
              <w:rPr>
                <w:rFonts w:ascii="Arial" w:hAnsi="Arial" w:cs="Arial"/>
                <w:color w:val="000000" w:themeColor="text1"/>
                <w:lang w:eastAsia="en-GB"/>
              </w:rPr>
            </w:pPr>
            <w:r w:rsidRPr="007A69FA">
              <w:rPr>
                <w:rFonts w:ascii="Arial" w:hAnsi="Arial" w:cs="Arial"/>
                <w:color w:val="000000" w:themeColor="text1"/>
                <w:lang w:eastAsia="en-GB"/>
              </w:rPr>
              <w:t>Salary</w:t>
            </w:r>
            <w:r>
              <w:rPr>
                <w:rFonts w:ascii="Arial" w:hAnsi="Arial" w:cs="Arial"/>
                <w:color w:val="000000" w:themeColor="text1"/>
                <w:lang w:eastAsia="en-GB"/>
              </w:rPr>
              <w:t xml:space="preserve"> 2</w:t>
            </w:r>
            <w:r w:rsidR="00175469">
              <w:rPr>
                <w:rFonts w:ascii="Arial" w:hAnsi="Arial" w:cs="Arial"/>
                <w:color w:val="000000" w:themeColor="text1"/>
                <w:lang w:eastAsia="en-GB"/>
              </w:rPr>
              <w:t>4</w:t>
            </w:r>
            <w:r>
              <w:rPr>
                <w:rFonts w:ascii="Arial" w:hAnsi="Arial" w:cs="Arial"/>
                <w:color w:val="000000" w:themeColor="text1"/>
                <w:lang w:eastAsia="en-GB"/>
              </w:rPr>
              <w:t>/2</w:t>
            </w:r>
            <w:r w:rsidR="00175469">
              <w:rPr>
                <w:rFonts w:ascii="Arial" w:hAnsi="Arial" w:cs="Arial"/>
                <w:color w:val="000000" w:themeColor="text1"/>
                <w:lang w:eastAsia="en-GB"/>
              </w:rPr>
              <w:t>5</w:t>
            </w:r>
            <w:r w:rsidR="00B41C17">
              <w:rPr>
                <w:rFonts w:ascii="Arial" w:hAnsi="Arial" w:cs="Arial"/>
                <w:color w:val="000000" w:themeColor="text1"/>
                <w:lang w:eastAsia="en-GB"/>
              </w:rPr>
              <w:t xml:space="preserve"> </w:t>
            </w:r>
          </w:p>
          <w:p w:rsidRPr="007A69FA" w:rsidR="00C324BF" w:rsidP="008D2C07" w:rsidRDefault="00C324BF" w14:paraId="055709CA" w14:textId="71CCA5BE">
            <w:pPr>
              <w:ind w:left="567" w:hanging="497"/>
              <w:jc w:val="center"/>
              <w:rPr>
                <w:rFonts w:ascii="Arial" w:hAnsi="Arial" w:cs="Arial"/>
                <w:color w:val="000000" w:themeColor="text1"/>
                <w:lang w:eastAsia="en-GB"/>
              </w:rPr>
            </w:pPr>
          </w:p>
        </w:tc>
      </w:tr>
      <w:tr w:rsidRPr="007A69FA" w:rsidR="00C324BF" w:rsidTr="00C70751" w14:paraId="4B7316C6" w14:textId="771F2EDF">
        <w:tc>
          <w:tcPr>
            <w:tcW w:w="1903" w:type="dxa"/>
            <w:tcBorders>
              <w:left w:val="single" w:color="auto" w:sz="4" w:space="0"/>
            </w:tcBorders>
          </w:tcPr>
          <w:p w:rsidRPr="007A69FA" w:rsidR="00C324BF" w:rsidP="00B25894" w:rsidRDefault="00C324BF" w14:paraId="77E465D9" w14:textId="77777777">
            <w:pPr>
              <w:ind w:left="567" w:hanging="497"/>
              <w:rPr>
                <w:rFonts w:ascii="Arial" w:hAnsi="Arial" w:cs="Arial"/>
                <w:color w:val="000000" w:themeColor="text1"/>
              </w:rPr>
            </w:pPr>
            <w:r w:rsidRPr="007A69FA">
              <w:rPr>
                <w:rFonts w:ascii="Arial" w:hAnsi="Arial" w:cs="Arial"/>
                <w:color w:val="000000" w:themeColor="text1"/>
              </w:rPr>
              <w:t>1</w:t>
            </w:r>
          </w:p>
        </w:tc>
        <w:tc>
          <w:tcPr>
            <w:tcW w:w="2160" w:type="dxa"/>
          </w:tcPr>
          <w:p w:rsidRPr="007A69FA" w:rsidR="00C324BF" w:rsidP="00A34B02" w:rsidRDefault="00C324BF" w14:paraId="59451CEA" w14:textId="1E253906">
            <w:pPr>
              <w:ind w:left="567" w:hanging="497"/>
              <w:rPr>
                <w:rFonts w:ascii="Arial" w:hAnsi="Arial" w:cs="Arial"/>
                <w:color w:val="000000" w:themeColor="text1"/>
              </w:rPr>
            </w:pPr>
            <w:r>
              <w:rPr>
                <w:rFonts w:ascii="Arial" w:hAnsi="Arial" w:cs="Arial"/>
                <w:color w:val="000000"/>
              </w:rPr>
              <w:t>£</w:t>
            </w:r>
            <w:r w:rsidRPr="00E42A9C" w:rsidR="00175469">
              <w:rPr>
                <w:rFonts w:ascii="Arial" w:hAnsi="Arial" w:cs="Arial"/>
                <w:color w:val="000000"/>
              </w:rPr>
              <w:t>147</w:t>
            </w:r>
            <w:r w:rsidR="00175469">
              <w:rPr>
                <w:rFonts w:ascii="Arial" w:hAnsi="Arial" w:cs="Arial"/>
                <w:color w:val="000000"/>
              </w:rPr>
              <w:t>,</w:t>
            </w:r>
            <w:r w:rsidRPr="00E42A9C" w:rsidR="00175469">
              <w:rPr>
                <w:rFonts w:ascii="Arial" w:hAnsi="Arial" w:cs="Arial"/>
                <w:color w:val="000000"/>
              </w:rPr>
              <w:t>028</w:t>
            </w:r>
          </w:p>
        </w:tc>
        <w:tc>
          <w:tcPr>
            <w:tcW w:w="2458" w:type="dxa"/>
          </w:tcPr>
          <w:p w:rsidRPr="00E42A9C" w:rsidR="00C324BF" w:rsidP="00175469" w:rsidRDefault="00E42A9C" w14:paraId="02560C77" w14:textId="589976CC">
            <w:pPr>
              <w:rPr>
                <w:rFonts w:ascii="Arial" w:hAnsi="Arial" w:cs="Arial"/>
                <w:color w:val="000000"/>
              </w:rPr>
            </w:pPr>
            <w:r>
              <w:rPr>
                <w:rFonts w:ascii="Arial" w:hAnsi="Arial" w:cs="Arial"/>
                <w:color w:val="000000"/>
              </w:rPr>
              <w:t>£</w:t>
            </w:r>
            <w:r w:rsidR="00CE2EC9">
              <w:rPr>
                <w:rFonts w:ascii="Arial" w:hAnsi="Arial" w:cs="Arial"/>
                <w:color w:val="000000"/>
              </w:rPr>
              <w:t>152,910</w:t>
            </w:r>
          </w:p>
        </w:tc>
      </w:tr>
      <w:tr w:rsidRPr="007A69FA" w:rsidR="00C324BF" w:rsidTr="00C70751" w14:paraId="207A6D7E" w14:textId="3A28D0A0">
        <w:tc>
          <w:tcPr>
            <w:tcW w:w="1903" w:type="dxa"/>
            <w:tcBorders>
              <w:left w:val="single" w:color="auto" w:sz="4" w:space="0"/>
            </w:tcBorders>
          </w:tcPr>
          <w:p w:rsidRPr="007A69FA" w:rsidR="00C324BF" w:rsidP="00B25894" w:rsidRDefault="00C324BF" w14:paraId="193D74A3" w14:textId="77777777">
            <w:pPr>
              <w:ind w:left="567" w:hanging="497"/>
              <w:rPr>
                <w:rFonts w:ascii="Arial" w:hAnsi="Arial" w:cs="Arial"/>
                <w:color w:val="000000" w:themeColor="text1"/>
              </w:rPr>
            </w:pPr>
            <w:r w:rsidRPr="007A69FA">
              <w:rPr>
                <w:rFonts w:ascii="Arial" w:hAnsi="Arial" w:cs="Arial"/>
                <w:color w:val="000000" w:themeColor="text1"/>
              </w:rPr>
              <w:t>2</w:t>
            </w:r>
          </w:p>
        </w:tc>
        <w:tc>
          <w:tcPr>
            <w:tcW w:w="2160" w:type="dxa"/>
          </w:tcPr>
          <w:p w:rsidRPr="007A69FA" w:rsidR="00C324BF" w:rsidP="00A34B02" w:rsidRDefault="00C324BF" w14:paraId="36D4E5A3" w14:textId="74A4A887">
            <w:pPr>
              <w:ind w:left="567" w:hanging="497"/>
              <w:rPr>
                <w:rFonts w:ascii="Arial" w:hAnsi="Arial" w:cs="Arial"/>
                <w:color w:val="000000" w:themeColor="text1"/>
              </w:rPr>
            </w:pPr>
            <w:r>
              <w:rPr>
                <w:rFonts w:ascii="Arial" w:hAnsi="Arial" w:cs="Arial"/>
                <w:color w:val="000000"/>
              </w:rPr>
              <w:t>£</w:t>
            </w:r>
            <w:r w:rsidRPr="00E42A9C" w:rsidR="00175469">
              <w:rPr>
                <w:rFonts w:ascii="Arial" w:hAnsi="Arial" w:cs="Arial"/>
                <w:color w:val="000000"/>
              </w:rPr>
              <w:t>150</w:t>
            </w:r>
            <w:r w:rsidR="00175469">
              <w:rPr>
                <w:rFonts w:ascii="Arial" w:hAnsi="Arial" w:cs="Arial"/>
                <w:color w:val="000000"/>
              </w:rPr>
              <w:t>,</w:t>
            </w:r>
            <w:r w:rsidRPr="00E42A9C" w:rsidR="00175469">
              <w:rPr>
                <w:rFonts w:ascii="Arial" w:hAnsi="Arial" w:cs="Arial"/>
                <w:color w:val="000000"/>
              </w:rPr>
              <w:t>369</w:t>
            </w:r>
          </w:p>
        </w:tc>
        <w:tc>
          <w:tcPr>
            <w:tcW w:w="2458" w:type="dxa"/>
          </w:tcPr>
          <w:p w:rsidRPr="00E42A9C" w:rsidR="00C324BF" w:rsidP="00175469" w:rsidRDefault="00E42A9C" w14:paraId="4AD86816" w14:textId="7D66DE05">
            <w:pPr>
              <w:rPr>
                <w:rFonts w:ascii="Arial" w:hAnsi="Arial" w:cs="Arial"/>
                <w:color w:val="000000"/>
              </w:rPr>
            </w:pPr>
            <w:r>
              <w:rPr>
                <w:rFonts w:ascii="Arial" w:hAnsi="Arial" w:cs="Arial"/>
                <w:color w:val="000000"/>
              </w:rPr>
              <w:t>£</w:t>
            </w:r>
            <w:r w:rsidR="00CE2EC9">
              <w:rPr>
                <w:rFonts w:ascii="Arial" w:hAnsi="Arial" w:cs="Arial"/>
                <w:color w:val="000000"/>
              </w:rPr>
              <w:t>156,384</w:t>
            </w:r>
          </w:p>
        </w:tc>
      </w:tr>
      <w:tr w:rsidRPr="007A69FA" w:rsidR="00C324BF" w:rsidTr="00C70751" w14:paraId="1CC7551A" w14:textId="6B1DFC4A">
        <w:tc>
          <w:tcPr>
            <w:tcW w:w="1903" w:type="dxa"/>
            <w:tcBorders>
              <w:left w:val="single" w:color="auto" w:sz="4" w:space="0"/>
            </w:tcBorders>
          </w:tcPr>
          <w:p w:rsidRPr="007A69FA" w:rsidR="00C324BF" w:rsidP="00B25894" w:rsidRDefault="00C324BF" w14:paraId="13C734FF" w14:textId="77777777">
            <w:pPr>
              <w:ind w:left="567" w:hanging="497"/>
              <w:rPr>
                <w:rFonts w:ascii="Arial" w:hAnsi="Arial" w:cs="Arial"/>
                <w:color w:val="000000" w:themeColor="text1"/>
              </w:rPr>
            </w:pPr>
            <w:r w:rsidRPr="007A69FA">
              <w:rPr>
                <w:rFonts w:ascii="Arial" w:hAnsi="Arial" w:cs="Arial"/>
                <w:color w:val="000000" w:themeColor="text1"/>
              </w:rPr>
              <w:t>3</w:t>
            </w:r>
          </w:p>
        </w:tc>
        <w:tc>
          <w:tcPr>
            <w:tcW w:w="2160" w:type="dxa"/>
          </w:tcPr>
          <w:p w:rsidRPr="007A69FA" w:rsidR="00C324BF" w:rsidP="00A34B02" w:rsidRDefault="00C324BF" w14:paraId="70DE5748" w14:textId="6AF58BF8">
            <w:pPr>
              <w:ind w:left="567" w:hanging="497"/>
              <w:rPr>
                <w:rFonts w:ascii="Arial" w:hAnsi="Arial" w:cs="Arial"/>
                <w:color w:val="000000" w:themeColor="text1"/>
              </w:rPr>
            </w:pPr>
            <w:r>
              <w:rPr>
                <w:rFonts w:ascii="Arial" w:hAnsi="Arial" w:cs="Arial"/>
                <w:color w:val="000000"/>
              </w:rPr>
              <w:t>£</w:t>
            </w:r>
            <w:r w:rsidRPr="00E42A9C" w:rsidR="00175469">
              <w:rPr>
                <w:rFonts w:ascii="Arial" w:hAnsi="Arial" w:cs="Arial"/>
                <w:color w:val="000000"/>
              </w:rPr>
              <w:t>153</w:t>
            </w:r>
            <w:r w:rsidR="00175469">
              <w:rPr>
                <w:rFonts w:ascii="Arial" w:hAnsi="Arial" w:cs="Arial"/>
                <w:color w:val="000000"/>
              </w:rPr>
              <w:t>,</w:t>
            </w:r>
            <w:r w:rsidRPr="00E42A9C" w:rsidR="00175469">
              <w:rPr>
                <w:rFonts w:ascii="Arial" w:hAnsi="Arial" w:cs="Arial"/>
                <w:color w:val="000000"/>
              </w:rPr>
              <w:t>711</w:t>
            </w:r>
          </w:p>
        </w:tc>
        <w:tc>
          <w:tcPr>
            <w:tcW w:w="2458" w:type="dxa"/>
          </w:tcPr>
          <w:p w:rsidRPr="00E42A9C" w:rsidR="00C324BF" w:rsidP="00175469" w:rsidRDefault="00E42A9C" w14:paraId="78649D16" w14:textId="3944D76E">
            <w:pPr>
              <w:rPr>
                <w:rFonts w:ascii="Arial" w:hAnsi="Arial" w:cs="Arial"/>
                <w:color w:val="000000"/>
              </w:rPr>
            </w:pPr>
            <w:r>
              <w:rPr>
                <w:rFonts w:ascii="Arial" w:hAnsi="Arial" w:cs="Arial"/>
                <w:color w:val="000000"/>
              </w:rPr>
              <w:t>£</w:t>
            </w:r>
            <w:r w:rsidR="00CE2EC9">
              <w:rPr>
                <w:rFonts w:ascii="Arial" w:hAnsi="Arial" w:cs="Arial"/>
                <w:color w:val="000000"/>
              </w:rPr>
              <w:t>159,860</w:t>
            </w:r>
          </w:p>
        </w:tc>
      </w:tr>
      <w:tr w:rsidRPr="007A69FA" w:rsidR="00C324BF" w:rsidTr="00C70751" w14:paraId="3AA82424" w14:textId="46EB5F16">
        <w:tc>
          <w:tcPr>
            <w:tcW w:w="1903" w:type="dxa"/>
            <w:tcBorders>
              <w:left w:val="single" w:color="auto" w:sz="4" w:space="0"/>
            </w:tcBorders>
          </w:tcPr>
          <w:p w:rsidRPr="007A69FA" w:rsidR="00C324BF" w:rsidP="00B25894" w:rsidRDefault="00C324BF" w14:paraId="2618884F" w14:textId="77777777">
            <w:pPr>
              <w:ind w:left="567" w:hanging="497"/>
              <w:rPr>
                <w:rFonts w:ascii="Arial" w:hAnsi="Arial" w:cs="Arial"/>
                <w:color w:val="000000" w:themeColor="text1"/>
              </w:rPr>
            </w:pPr>
            <w:r w:rsidRPr="007A69FA">
              <w:rPr>
                <w:rFonts w:ascii="Arial" w:hAnsi="Arial" w:cs="Arial"/>
                <w:color w:val="000000" w:themeColor="text1"/>
              </w:rPr>
              <w:t>4</w:t>
            </w:r>
          </w:p>
        </w:tc>
        <w:tc>
          <w:tcPr>
            <w:tcW w:w="2160" w:type="dxa"/>
          </w:tcPr>
          <w:p w:rsidRPr="007A69FA" w:rsidR="00C324BF" w:rsidP="00A34B02" w:rsidRDefault="00C324BF" w14:paraId="18F2EE2E" w14:textId="16042825">
            <w:pPr>
              <w:ind w:left="567" w:hanging="497"/>
              <w:rPr>
                <w:rFonts w:ascii="Arial" w:hAnsi="Arial" w:cs="Arial"/>
                <w:color w:val="000000" w:themeColor="text1"/>
              </w:rPr>
            </w:pPr>
            <w:r>
              <w:rPr>
                <w:rFonts w:ascii="Arial" w:hAnsi="Arial" w:cs="Arial"/>
                <w:color w:val="000000"/>
              </w:rPr>
              <w:t>£</w:t>
            </w:r>
            <w:r w:rsidRPr="00E42A9C" w:rsidR="00175469">
              <w:rPr>
                <w:rFonts w:ascii="Arial" w:hAnsi="Arial" w:cs="Arial"/>
                <w:color w:val="000000"/>
              </w:rPr>
              <w:t>157</w:t>
            </w:r>
            <w:r w:rsidR="00175469">
              <w:rPr>
                <w:rFonts w:ascii="Arial" w:hAnsi="Arial" w:cs="Arial"/>
                <w:color w:val="000000"/>
              </w:rPr>
              <w:t>,</w:t>
            </w:r>
            <w:r w:rsidRPr="00E42A9C" w:rsidR="00175469">
              <w:rPr>
                <w:rFonts w:ascii="Arial" w:hAnsi="Arial" w:cs="Arial"/>
                <w:color w:val="000000"/>
              </w:rPr>
              <w:t>052</w:t>
            </w:r>
          </w:p>
        </w:tc>
        <w:tc>
          <w:tcPr>
            <w:tcW w:w="2458" w:type="dxa"/>
          </w:tcPr>
          <w:p w:rsidRPr="00E42A9C" w:rsidR="00C324BF" w:rsidP="00175469" w:rsidRDefault="00E42A9C" w14:paraId="4EAB9FD7" w14:textId="3275C2E8">
            <w:pPr>
              <w:rPr>
                <w:rFonts w:ascii="Arial" w:hAnsi="Arial" w:cs="Arial"/>
                <w:color w:val="000000"/>
              </w:rPr>
            </w:pPr>
            <w:r>
              <w:rPr>
                <w:rFonts w:ascii="Arial" w:hAnsi="Arial" w:cs="Arial"/>
                <w:color w:val="000000"/>
              </w:rPr>
              <w:t>£</w:t>
            </w:r>
            <w:r w:rsidR="00CE2EC9">
              <w:rPr>
                <w:rFonts w:ascii="Arial" w:hAnsi="Arial" w:cs="Arial"/>
                <w:color w:val="000000"/>
              </w:rPr>
              <w:t>163,335</w:t>
            </w:r>
          </w:p>
        </w:tc>
      </w:tr>
      <w:tr w:rsidRPr="007A69FA" w:rsidR="00C324BF" w:rsidTr="00C70751" w14:paraId="1553B301" w14:textId="291FD492">
        <w:tc>
          <w:tcPr>
            <w:tcW w:w="1903" w:type="dxa"/>
            <w:tcBorders>
              <w:left w:val="single" w:color="auto" w:sz="4" w:space="0"/>
            </w:tcBorders>
          </w:tcPr>
          <w:p w:rsidRPr="007A69FA" w:rsidR="00C324BF" w:rsidP="00B25894" w:rsidRDefault="00C324BF" w14:paraId="5F7F5337" w14:textId="77777777">
            <w:pPr>
              <w:ind w:left="567" w:hanging="497"/>
              <w:rPr>
                <w:rFonts w:ascii="Arial" w:hAnsi="Arial" w:cs="Arial"/>
                <w:color w:val="000000" w:themeColor="text1"/>
              </w:rPr>
            </w:pPr>
            <w:r w:rsidRPr="007A69FA">
              <w:rPr>
                <w:rFonts w:ascii="Arial" w:hAnsi="Arial" w:cs="Arial"/>
                <w:color w:val="000000" w:themeColor="text1"/>
              </w:rPr>
              <w:t>5</w:t>
            </w:r>
          </w:p>
        </w:tc>
        <w:tc>
          <w:tcPr>
            <w:tcW w:w="2160" w:type="dxa"/>
          </w:tcPr>
          <w:p w:rsidRPr="007A69FA" w:rsidR="00C324BF" w:rsidP="00A34B02" w:rsidRDefault="00C324BF" w14:paraId="7E72CDF2" w14:textId="78FDA38D">
            <w:pPr>
              <w:ind w:left="567" w:hanging="497"/>
              <w:rPr>
                <w:rFonts w:ascii="Arial" w:hAnsi="Arial" w:cs="Arial"/>
                <w:color w:val="000000" w:themeColor="text1"/>
              </w:rPr>
            </w:pPr>
            <w:r>
              <w:rPr>
                <w:rFonts w:ascii="Arial" w:hAnsi="Arial" w:cs="Arial"/>
                <w:color w:val="000000"/>
              </w:rPr>
              <w:t>£</w:t>
            </w:r>
            <w:r w:rsidRPr="00E42A9C" w:rsidR="00175469">
              <w:rPr>
                <w:rFonts w:ascii="Arial" w:hAnsi="Arial" w:cs="Arial"/>
                <w:color w:val="000000"/>
              </w:rPr>
              <w:t>160</w:t>
            </w:r>
            <w:r w:rsidR="00175469">
              <w:rPr>
                <w:rFonts w:ascii="Arial" w:hAnsi="Arial" w:cs="Arial"/>
                <w:color w:val="000000"/>
              </w:rPr>
              <w:t>,</w:t>
            </w:r>
            <w:r w:rsidRPr="00E42A9C" w:rsidR="00175469">
              <w:rPr>
                <w:rFonts w:ascii="Arial" w:hAnsi="Arial" w:cs="Arial"/>
                <w:color w:val="000000"/>
              </w:rPr>
              <w:t>394</w:t>
            </w:r>
          </w:p>
        </w:tc>
        <w:tc>
          <w:tcPr>
            <w:tcW w:w="2458" w:type="dxa"/>
          </w:tcPr>
          <w:p w:rsidRPr="00E42A9C" w:rsidR="00C324BF" w:rsidP="00175469" w:rsidRDefault="00E42A9C" w14:paraId="452ABA3C" w14:textId="1D0C3923">
            <w:pPr>
              <w:rPr>
                <w:rFonts w:ascii="Arial" w:hAnsi="Arial" w:cs="Arial"/>
                <w:color w:val="000000"/>
              </w:rPr>
            </w:pPr>
            <w:r>
              <w:rPr>
                <w:rFonts w:ascii="Arial" w:hAnsi="Arial" w:cs="Arial"/>
                <w:color w:val="000000"/>
              </w:rPr>
              <w:t>£</w:t>
            </w:r>
            <w:r w:rsidR="00CE2EC9">
              <w:rPr>
                <w:rFonts w:ascii="Arial" w:hAnsi="Arial" w:cs="Arial"/>
                <w:color w:val="000000"/>
              </w:rPr>
              <w:t>166,810</w:t>
            </w:r>
          </w:p>
        </w:tc>
      </w:tr>
    </w:tbl>
    <w:p w:rsidRPr="007A69FA" w:rsidR="00730161" w:rsidP="00B115BB" w:rsidRDefault="00730161" w14:paraId="4706EB07" w14:textId="77777777">
      <w:pPr>
        <w:ind w:left="567" w:hanging="497"/>
        <w:jc w:val="both"/>
        <w:rPr>
          <w:rFonts w:ascii="Arial" w:hAnsi="Arial" w:cs="Arial"/>
          <w:b/>
          <w:color w:val="000000" w:themeColor="text1"/>
        </w:rPr>
      </w:pPr>
    </w:p>
    <w:p w:rsidRPr="00FC058C" w:rsidR="00FC058C" w:rsidP="00EB310C" w:rsidRDefault="004344AE" w14:paraId="6F735830" w14:textId="757AE824">
      <w:pPr>
        <w:ind w:left="709" w:hanging="639"/>
        <w:jc w:val="both"/>
        <w:rPr>
          <w:rFonts w:ascii="Arial" w:hAnsi="Arial" w:cs="Arial"/>
        </w:rPr>
      </w:pPr>
      <w:r w:rsidRPr="007A69FA">
        <w:rPr>
          <w:rFonts w:ascii="Arial" w:hAnsi="Arial" w:cs="Arial"/>
          <w:color w:val="000000" w:themeColor="text1"/>
        </w:rPr>
        <w:t>2.2</w:t>
      </w:r>
      <w:r w:rsidRPr="007A69FA" w:rsidR="009A5906">
        <w:rPr>
          <w:rFonts w:ascii="Arial" w:hAnsi="Arial" w:cs="Arial"/>
          <w:color w:val="000000" w:themeColor="text1"/>
        </w:rPr>
        <w:tab/>
      </w:r>
      <w:r w:rsidRPr="00B41C17" w:rsidR="00DD46FD">
        <w:rPr>
          <w:rFonts w:ascii="Arial" w:hAnsi="Arial" w:cs="Arial"/>
          <w:color w:val="000000" w:themeColor="text1"/>
        </w:rPr>
        <w:t xml:space="preserve">Benefits for </w:t>
      </w:r>
      <w:r w:rsidRPr="00B41C17" w:rsidR="00175469">
        <w:rPr>
          <w:rFonts w:ascii="Arial" w:hAnsi="Arial" w:cs="Arial"/>
          <w:color w:val="000000" w:themeColor="text1"/>
        </w:rPr>
        <w:t>202</w:t>
      </w:r>
      <w:r w:rsidR="00175469">
        <w:rPr>
          <w:rFonts w:ascii="Arial" w:hAnsi="Arial" w:cs="Arial"/>
          <w:color w:val="000000" w:themeColor="text1"/>
        </w:rPr>
        <w:t>3</w:t>
      </w:r>
      <w:r w:rsidRPr="00B41C17" w:rsidR="009A557F">
        <w:rPr>
          <w:rFonts w:ascii="Arial" w:hAnsi="Arial" w:cs="Arial"/>
          <w:color w:val="000000" w:themeColor="text1"/>
        </w:rPr>
        <w:t>/</w:t>
      </w:r>
      <w:r w:rsidRPr="00B41C17" w:rsidR="00175469">
        <w:rPr>
          <w:rFonts w:ascii="Arial" w:hAnsi="Arial" w:cs="Arial"/>
          <w:color w:val="000000" w:themeColor="text1"/>
        </w:rPr>
        <w:t>2</w:t>
      </w:r>
      <w:r w:rsidR="00175469">
        <w:rPr>
          <w:rFonts w:ascii="Arial" w:hAnsi="Arial" w:cs="Arial"/>
          <w:color w:val="000000" w:themeColor="text1"/>
        </w:rPr>
        <w:t>4</w:t>
      </w:r>
      <w:r w:rsidRPr="00B41C17" w:rsidR="00175469">
        <w:rPr>
          <w:rFonts w:ascii="Arial" w:hAnsi="Arial" w:cs="Arial"/>
          <w:color w:val="000000" w:themeColor="text1"/>
        </w:rPr>
        <w:t xml:space="preserve"> </w:t>
      </w:r>
      <w:r w:rsidRPr="00B41C17" w:rsidR="00DD46FD">
        <w:rPr>
          <w:rFonts w:ascii="Arial" w:hAnsi="Arial" w:cs="Arial"/>
          <w:color w:val="000000" w:themeColor="text1"/>
        </w:rPr>
        <w:t>include</w:t>
      </w:r>
      <w:r w:rsidRPr="00B41C17" w:rsidR="00CA15AD">
        <w:rPr>
          <w:rFonts w:ascii="Arial" w:hAnsi="Arial" w:cs="Arial"/>
          <w:color w:val="000000" w:themeColor="text1"/>
        </w:rPr>
        <w:t xml:space="preserve"> an allowance for </w:t>
      </w:r>
      <w:r w:rsidRPr="00B41C17" w:rsidR="00DD46FD">
        <w:rPr>
          <w:rFonts w:ascii="Arial" w:hAnsi="Arial" w:cs="Arial"/>
          <w:color w:val="000000" w:themeColor="text1"/>
        </w:rPr>
        <w:t xml:space="preserve">Health Care Insurance to the annual value </w:t>
      </w:r>
      <w:r w:rsidRPr="00B41C17" w:rsidR="00DD46FD">
        <w:rPr>
          <w:rFonts w:ascii="Arial" w:hAnsi="Arial" w:cs="Arial"/>
        </w:rPr>
        <w:t xml:space="preserve">of </w:t>
      </w:r>
      <w:r w:rsidRPr="00B41C17" w:rsidR="004447D9">
        <w:rPr>
          <w:rFonts w:ascii="Arial" w:hAnsi="Arial" w:cs="Arial"/>
        </w:rPr>
        <w:t>£</w:t>
      </w:r>
      <w:r w:rsidR="00482C42">
        <w:rPr>
          <w:rFonts w:ascii="Arial" w:hAnsi="Arial" w:cs="Arial"/>
        </w:rPr>
        <w:t>2,621</w:t>
      </w:r>
      <w:r w:rsidRPr="00B41C17" w:rsidR="00F52817">
        <w:rPr>
          <w:rFonts w:ascii="Arial" w:hAnsi="Arial" w:cs="Arial"/>
        </w:rPr>
        <w:t xml:space="preserve"> (non-pensionable)</w:t>
      </w:r>
      <w:r w:rsidRPr="00B41C17" w:rsidR="00FC058C">
        <w:rPr>
          <w:rFonts w:ascii="Arial" w:hAnsi="Arial" w:cs="Arial"/>
        </w:rPr>
        <w:t xml:space="preserve">, </w:t>
      </w:r>
      <w:r w:rsidRPr="00B41C17" w:rsidR="00BE2FD5">
        <w:rPr>
          <w:rFonts w:ascii="Arial" w:hAnsi="Arial" w:cs="Arial"/>
          <w:color w:val="000000" w:themeColor="text1"/>
        </w:rPr>
        <w:t xml:space="preserve">a transport allowance </w:t>
      </w:r>
      <w:r w:rsidRPr="00B41C17" w:rsidR="00BE2FD5">
        <w:rPr>
          <w:rFonts w:ascii="Arial" w:hAnsi="Arial" w:cs="Arial"/>
        </w:rPr>
        <w:t xml:space="preserve">of </w:t>
      </w:r>
      <w:r w:rsidRPr="00B41C17" w:rsidR="00C30B2B">
        <w:rPr>
          <w:rFonts w:ascii="Arial" w:hAnsi="Arial" w:cs="Arial"/>
        </w:rPr>
        <w:t>£</w:t>
      </w:r>
      <w:r w:rsidR="00482C42">
        <w:rPr>
          <w:rFonts w:ascii="Arial" w:hAnsi="Arial" w:cs="Arial"/>
        </w:rPr>
        <w:t>5,570</w:t>
      </w:r>
      <w:r w:rsidRPr="00B41C17" w:rsidR="00B41C17">
        <w:rPr>
          <w:rFonts w:ascii="Arial" w:hAnsi="Arial" w:cs="Arial"/>
        </w:rPr>
        <w:t xml:space="preserve"> </w:t>
      </w:r>
      <w:r w:rsidRPr="00B41C17" w:rsidR="00F52817">
        <w:rPr>
          <w:rFonts w:ascii="Arial" w:hAnsi="Arial" w:cs="Arial"/>
        </w:rPr>
        <w:t>(pensionable)</w:t>
      </w:r>
      <w:r w:rsidRPr="00B41C17" w:rsidR="00FC058C">
        <w:rPr>
          <w:rFonts w:ascii="Arial" w:hAnsi="Arial" w:cs="Arial"/>
        </w:rPr>
        <w:t xml:space="preserve"> and access to an interest free car loan facility</w:t>
      </w:r>
      <w:r w:rsidRPr="00B41C17" w:rsidR="00946BFD">
        <w:rPr>
          <w:rFonts w:ascii="Arial" w:hAnsi="Arial" w:cs="Arial"/>
        </w:rPr>
        <w:t xml:space="preserve">.  The Managing Director has </w:t>
      </w:r>
      <w:r w:rsidRPr="00B41C17" w:rsidR="00EB310C">
        <w:rPr>
          <w:rFonts w:ascii="Arial" w:hAnsi="Arial" w:cs="Arial"/>
        </w:rPr>
        <w:t>utilised the interest free c</w:t>
      </w:r>
      <w:r w:rsidRPr="00B41C17" w:rsidR="00A50642">
        <w:rPr>
          <w:rFonts w:ascii="Arial" w:hAnsi="Arial" w:cs="Arial"/>
          <w:color w:val="000000" w:themeColor="text1"/>
        </w:rPr>
        <w:t xml:space="preserve">ar loan facility. As the car loan is </w:t>
      </w:r>
      <w:r w:rsidRPr="00B41C17" w:rsidR="00EB310C">
        <w:rPr>
          <w:rFonts w:ascii="Arial" w:hAnsi="Arial" w:cs="Arial"/>
          <w:color w:val="000000" w:themeColor="text1"/>
        </w:rPr>
        <w:t>over</w:t>
      </w:r>
      <w:r w:rsidRPr="00B41C17" w:rsidR="00A50642">
        <w:rPr>
          <w:rFonts w:ascii="Arial" w:hAnsi="Arial" w:cs="Arial"/>
          <w:color w:val="000000" w:themeColor="text1"/>
        </w:rPr>
        <w:t xml:space="preserve"> £10,000 it is </w:t>
      </w:r>
      <w:r w:rsidRPr="00B41C17" w:rsidR="00EB310C">
        <w:rPr>
          <w:rFonts w:ascii="Arial" w:hAnsi="Arial" w:cs="Arial"/>
          <w:color w:val="000000" w:themeColor="text1"/>
        </w:rPr>
        <w:t>a taxable benefit and is subject to taxation by the HMRC.</w:t>
      </w:r>
      <w:r w:rsidR="00B41C17">
        <w:rPr>
          <w:rFonts w:ascii="Arial" w:hAnsi="Arial" w:cs="Arial"/>
          <w:color w:val="000000" w:themeColor="text1"/>
        </w:rPr>
        <w:t xml:space="preserve"> </w:t>
      </w:r>
      <w:r w:rsidR="00B613A2">
        <w:rPr>
          <w:rFonts w:ascii="Arial" w:hAnsi="Arial" w:cs="Arial"/>
          <w:color w:val="000000" w:themeColor="text1"/>
        </w:rPr>
        <w:t>T</w:t>
      </w:r>
      <w:r w:rsidR="00B41C17">
        <w:rPr>
          <w:rFonts w:ascii="Arial" w:hAnsi="Arial" w:cs="Arial"/>
          <w:color w:val="000000" w:themeColor="text1"/>
        </w:rPr>
        <w:t xml:space="preserve">he P11D </w:t>
      </w:r>
      <w:r w:rsidR="00B613A2">
        <w:rPr>
          <w:rFonts w:ascii="Arial" w:hAnsi="Arial" w:cs="Arial"/>
          <w:color w:val="000000" w:themeColor="text1"/>
        </w:rPr>
        <w:t xml:space="preserve">cash equivalent figure reported to HMRC </w:t>
      </w:r>
      <w:r w:rsidR="00B41C17">
        <w:rPr>
          <w:rFonts w:ascii="Arial" w:hAnsi="Arial" w:cs="Arial"/>
          <w:color w:val="000000" w:themeColor="text1"/>
        </w:rPr>
        <w:t xml:space="preserve">for 2022/23 </w:t>
      </w:r>
      <w:r w:rsidR="00B613A2">
        <w:rPr>
          <w:rFonts w:ascii="Arial" w:hAnsi="Arial" w:cs="Arial"/>
          <w:color w:val="000000" w:themeColor="text1"/>
        </w:rPr>
        <w:t>was £380.40.</w:t>
      </w:r>
    </w:p>
    <w:p w:rsidRPr="007A69FA" w:rsidR="00DD46FD" w:rsidP="00B115BB" w:rsidRDefault="00DD46FD" w14:paraId="370B11D0" w14:textId="77777777">
      <w:pPr>
        <w:ind w:left="709" w:hanging="639"/>
        <w:jc w:val="both"/>
        <w:rPr>
          <w:rFonts w:ascii="Arial" w:hAnsi="Arial" w:cs="Arial"/>
          <w:color w:val="000000" w:themeColor="text1"/>
        </w:rPr>
      </w:pPr>
    </w:p>
    <w:p w:rsidRPr="007B363B" w:rsidR="00DD46FD" w:rsidP="001B27D8" w:rsidRDefault="00E334E9" w14:paraId="3EB73373" w14:textId="77777777">
      <w:pPr>
        <w:numPr>
          <w:ilvl w:val="1"/>
          <w:numId w:val="3"/>
        </w:numPr>
        <w:tabs>
          <w:tab w:val="clear" w:pos="928"/>
        </w:tabs>
        <w:ind w:left="709" w:hanging="639"/>
        <w:jc w:val="both"/>
        <w:rPr>
          <w:rFonts w:ascii="Arial" w:hAnsi="Arial" w:cs="Arial"/>
        </w:rPr>
      </w:pPr>
      <w:r w:rsidRPr="007A69FA">
        <w:rPr>
          <w:rFonts w:ascii="Arial" w:hAnsi="Arial" w:cs="Arial"/>
          <w:color w:val="000000" w:themeColor="text1"/>
        </w:rPr>
        <w:tab/>
      </w:r>
      <w:r w:rsidRPr="007A69FA" w:rsidR="00DD46FD">
        <w:rPr>
          <w:rFonts w:ascii="Arial" w:hAnsi="Arial" w:cs="Arial"/>
          <w:color w:val="000000" w:themeColor="text1"/>
        </w:rPr>
        <w:t xml:space="preserve">It is the Council’s policy that the full time equivalent (FTE) salary package for the post of </w:t>
      </w:r>
      <w:r w:rsidRPr="007A69FA" w:rsidR="00051185">
        <w:rPr>
          <w:rFonts w:ascii="Arial" w:hAnsi="Arial" w:cs="Arial"/>
          <w:color w:val="000000" w:themeColor="text1"/>
        </w:rPr>
        <w:t>Managing Director</w:t>
      </w:r>
      <w:r w:rsidRPr="007A69FA" w:rsidR="00DD46FD">
        <w:rPr>
          <w:rFonts w:ascii="Arial" w:hAnsi="Arial" w:cs="Arial"/>
          <w:color w:val="000000" w:themeColor="text1"/>
        </w:rPr>
        <w:t xml:space="preserve">, defined as the maximum of the FTE salary range plus the total value of any benefits in kind payable under the contract of employment, will normally be no greater than 6.5 x the average FTE salary of </w:t>
      </w:r>
      <w:r w:rsidRPr="007A69FA" w:rsidR="009A5906">
        <w:rPr>
          <w:rFonts w:ascii="Arial" w:hAnsi="Arial" w:cs="Arial"/>
          <w:color w:val="000000" w:themeColor="text1"/>
        </w:rPr>
        <w:t>all employees in the workforce.</w:t>
      </w:r>
      <w:r w:rsidRPr="007A69FA" w:rsidR="007B4804">
        <w:rPr>
          <w:rStyle w:val="CommentReference"/>
          <w:rFonts w:ascii="Arial" w:hAnsi="Arial" w:cs="Arial"/>
          <w:color w:val="000000" w:themeColor="text1"/>
          <w:sz w:val="24"/>
          <w:szCs w:val="24"/>
        </w:rPr>
        <w:t xml:space="preserve"> </w:t>
      </w:r>
      <w:r w:rsidRPr="007B363B" w:rsidR="007B4804">
        <w:rPr>
          <w:rStyle w:val="CommentReference"/>
          <w:rFonts w:ascii="Arial" w:hAnsi="Arial" w:cs="Arial"/>
          <w:sz w:val="24"/>
          <w:szCs w:val="24"/>
        </w:rPr>
        <w:t xml:space="preserve">This maximum is </w:t>
      </w:r>
      <w:r w:rsidRPr="007B363B" w:rsidR="007B4804">
        <w:rPr>
          <w:rStyle w:val="CommentReference"/>
          <w:rFonts w:ascii="Arial" w:hAnsi="Arial" w:cs="Arial"/>
          <w:sz w:val="24"/>
          <w:szCs w:val="24"/>
        </w:rPr>
        <w:lastRenderedPageBreak/>
        <w:t>currently not being met by the total remuneration for the Managing Director.</w:t>
      </w:r>
    </w:p>
    <w:p w:rsidRPr="007A69FA" w:rsidR="00DD46FD" w:rsidP="00B115BB" w:rsidRDefault="00DD46FD" w14:paraId="153DA948" w14:textId="77777777">
      <w:pPr>
        <w:ind w:left="709" w:hanging="639"/>
        <w:jc w:val="both"/>
        <w:rPr>
          <w:rFonts w:ascii="Arial" w:hAnsi="Arial" w:cs="Arial"/>
          <w:color w:val="000000" w:themeColor="text1"/>
        </w:rPr>
      </w:pPr>
    </w:p>
    <w:p w:rsidRPr="007A69FA" w:rsidR="00DD46FD" w:rsidP="001B27D8" w:rsidRDefault="00F3121B" w14:paraId="7993F536" w14:textId="5075DACF">
      <w:pPr>
        <w:numPr>
          <w:ilvl w:val="1"/>
          <w:numId w:val="3"/>
        </w:numPr>
        <w:tabs>
          <w:tab w:val="clear" w:pos="928"/>
        </w:tabs>
        <w:ind w:left="709" w:hanging="639"/>
        <w:jc w:val="both"/>
        <w:rPr>
          <w:rFonts w:ascii="Arial" w:hAnsi="Arial" w:cs="Arial"/>
          <w:color w:val="000000" w:themeColor="text1"/>
        </w:rPr>
      </w:pPr>
      <w:r w:rsidRPr="00CC3D55">
        <w:rPr>
          <w:rFonts w:ascii="Arial" w:hAnsi="Arial" w:cs="Arial"/>
        </w:rPr>
        <w:t xml:space="preserve">Returning Officer’s fees </w:t>
      </w:r>
      <w:r w:rsidR="000A7F9F">
        <w:rPr>
          <w:rFonts w:ascii="Arial" w:hAnsi="Arial" w:cs="Arial"/>
        </w:rPr>
        <w:t>of £</w:t>
      </w:r>
      <w:r w:rsidRPr="00CE2EC9" w:rsidR="000A7F9F">
        <w:rPr>
          <w:rFonts w:ascii="Arial" w:hAnsi="Arial" w:cs="Arial"/>
        </w:rPr>
        <w:t xml:space="preserve">17,142 </w:t>
      </w:r>
      <w:r w:rsidRPr="00CC3D55" w:rsidR="00CC3D55">
        <w:rPr>
          <w:rFonts w:ascii="Arial" w:hAnsi="Arial" w:cs="Arial"/>
        </w:rPr>
        <w:t xml:space="preserve">were </w:t>
      </w:r>
      <w:r w:rsidRPr="00CC3D55">
        <w:rPr>
          <w:rFonts w:ascii="Arial" w:hAnsi="Arial" w:cs="Arial"/>
        </w:rPr>
        <w:t xml:space="preserve">paid to the Managing Director in </w:t>
      </w:r>
      <w:r w:rsidRPr="00CC3D55" w:rsidR="00D44088">
        <w:rPr>
          <w:rFonts w:ascii="Arial" w:hAnsi="Arial" w:cs="Arial"/>
        </w:rPr>
        <w:t>202</w:t>
      </w:r>
      <w:r w:rsidR="002D706F">
        <w:rPr>
          <w:rFonts w:ascii="Arial" w:hAnsi="Arial" w:cs="Arial"/>
        </w:rPr>
        <w:t>3</w:t>
      </w:r>
      <w:r w:rsidRPr="00CC3D55" w:rsidR="009A557F">
        <w:rPr>
          <w:rFonts w:ascii="Arial" w:hAnsi="Arial" w:cs="Arial"/>
        </w:rPr>
        <w:t>/</w:t>
      </w:r>
      <w:r w:rsidRPr="00CC3D55" w:rsidR="00D44088">
        <w:rPr>
          <w:rFonts w:ascii="Arial" w:hAnsi="Arial" w:cs="Arial"/>
        </w:rPr>
        <w:t>2</w:t>
      </w:r>
      <w:r w:rsidR="002D706F">
        <w:rPr>
          <w:rFonts w:ascii="Arial" w:hAnsi="Arial" w:cs="Arial"/>
        </w:rPr>
        <w:t>4</w:t>
      </w:r>
      <w:r w:rsidRPr="009A557F">
        <w:rPr>
          <w:rFonts w:ascii="Arial" w:hAnsi="Arial" w:cs="Arial"/>
          <w:color w:val="FF0000"/>
        </w:rPr>
        <w:t xml:space="preserve">. </w:t>
      </w:r>
      <w:r w:rsidRPr="007A69FA" w:rsidR="00DD46FD">
        <w:rPr>
          <w:rFonts w:ascii="Arial" w:hAnsi="Arial" w:cs="Arial"/>
          <w:color w:val="000000" w:themeColor="text1"/>
        </w:rPr>
        <w:t>Th</w:t>
      </w:r>
      <w:r w:rsidRPr="007A69FA">
        <w:rPr>
          <w:rFonts w:ascii="Arial" w:hAnsi="Arial" w:cs="Arial"/>
          <w:color w:val="000000" w:themeColor="text1"/>
        </w:rPr>
        <w:t xml:space="preserve">e Returning Officer post </w:t>
      </w:r>
      <w:r w:rsidRPr="007A69FA" w:rsidR="00DD46FD">
        <w:rPr>
          <w:rFonts w:ascii="Arial" w:hAnsi="Arial" w:cs="Arial"/>
          <w:color w:val="000000" w:themeColor="text1"/>
        </w:rPr>
        <w:t xml:space="preserve">is a separate employment and therefore not factored into the calculation of multiples referred to in paragraph </w:t>
      </w:r>
      <w:r w:rsidRPr="007A69FA">
        <w:rPr>
          <w:rFonts w:ascii="Arial" w:hAnsi="Arial" w:cs="Arial"/>
          <w:color w:val="000000" w:themeColor="text1"/>
        </w:rPr>
        <w:t>2.3</w:t>
      </w:r>
      <w:r w:rsidRPr="007A69FA" w:rsidR="00DD46FD">
        <w:rPr>
          <w:rFonts w:ascii="Arial" w:hAnsi="Arial" w:cs="Arial"/>
          <w:color w:val="000000" w:themeColor="text1"/>
        </w:rPr>
        <w:t xml:space="preserve"> above. Hertsmere is not responsible for appointing the Returning Officer at County, Parliamentary or European elections or for national referendums and </w:t>
      </w:r>
      <w:r w:rsidRPr="007A69FA" w:rsidR="009A7B83">
        <w:rPr>
          <w:rFonts w:ascii="Arial" w:hAnsi="Arial" w:cs="Arial"/>
          <w:color w:val="000000" w:themeColor="text1"/>
        </w:rPr>
        <w:t xml:space="preserve">for that reason, </w:t>
      </w:r>
      <w:r w:rsidRPr="007A69FA" w:rsidR="00DD46FD">
        <w:rPr>
          <w:rFonts w:ascii="Arial" w:hAnsi="Arial" w:cs="Arial"/>
          <w:color w:val="000000" w:themeColor="text1"/>
        </w:rPr>
        <w:t>fees for any such appointments are not included in</w:t>
      </w:r>
      <w:r w:rsidRPr="007A69FA" w:rsidR="009A7B83">
        <w:rPr>
          <w:rFonts w:ascii="Arial" w:hAnsi="Arial" w:cs="Arial"/>
          <w:color w:val="000000" w:themeColor="text1"/>
        </w:rPr>
        <w:t xml:space="preserve"> those calculations</w:t>
      </w:r>
      <w:r w:rsidRPr="007A69FA" w:rsidR="00DD46FD">
        <w:rPr>
          <w:rFonts w:ascii="Arial" w:hAnsi="Arial" w:cs="Arial"/>
          <w:color w:val="000000" w:themeColor="text1"/>
        </w:rPr>
        <w:t>.</w:t>
      </w:r>
      <w:r w:rsidRPr="007A69FA" w:rsidR="00E4530B">
        <w:rPr>
          <w:rFonts w:ascii="Arial" w:hAnsi="Arial" w:cs="Arial"/>
          <w:color w:val="000000" w:themeColor="text1"/>
        </w:rPr>
        <w:t xml:space="preserve"> </w:t>
      </w:r>
    </w:p>
    <w:p w:rsidRPr="007A69FA" w:rsidR="00D05346" w:rsidP="00B115BB" w:rsidRDefault="00D05346" w14:paraId="3C331273" w14:textId="77777777">
      <w:pPr>
        <w:pStyle w:val="ListParagraph"/>
        <w:spacing w:after="0"/>
        <w:ind w:left="709" w:hanging="639"/>
        <w:jc w:val="both"/>
        <w:rPr>
          <w:rFonts w:ascii="Arial" w:hAnsi="Arial" w:cs="Arial"/>
          <w:color w:val="000000" w:themeColor="text1"/>
          <w:sz w:val="24"/>
          <w:szCs w:val="24"/>
        </w:rPr>
      </w:pPr>
    </w:p>
    <w:p w:rsidRPr="007A69FA" w:rsidR="00DD46FD" w:rsidP="00B115BB" w:rsidRDefault="00DD46FD" w14:paraId="0E57AD1B" w14:textId="1AFE5631">
      <w:pPr>
        <w:ind w:left="709" w:hanging="639"/>
        <w:jc w:val="both"/>
        <w:rPr>
          <w:rFonts w:ascii="Arial" w:hAnsi="Arial" w:cs="Arial"/>
          <w:color w:val="000000" w:themeColor="text1"/>
        </w:rPr>
      </w:pPr>
      <w:r w:rsidRPr="007A69FA">
        <w:rPr>
          <w:rFonts w:ascii="Arial" w:hAnsi="Arial" w:cs="Arial"/>
          <w:color w:val="000000" w:themeColor="text1"/>
        </w:rPr>
        <w:t>3.</w:t>
      </w:r>
      <w:r w:rsidRPr="007A69FA">
        <w:rPr>
          <w:rFonts w:ascii="Arial" w:hAnsi="Arial" w:cs="Arial"/>
          <w:b/>
          <w:color w:val="000000" w:themeColor="text1"/>
        </w:rPr>
        <w:tab/>
      </w:r>
      <w:r w:rsidRPr="007A69FA">
        <w:rPr>
          <w:rFonts w:ascii="Arial" w:hAnsi="Arial" w:cs="Arial"/>
          <w:b/>
          <w:color w:val="000000" w:themeColor="text1"/>
          <w:u w:val="single"/>
        </w:rPr>
        <w:t>Th</w:t>
      </w:r>
      <w:r w:rsidRPr="007A69FA" w:rsidR="007D604A">
        <w:rPr>
          <w:rFonts w:ascii="Arial" w:hAnsi="Arial" w:cs="Arial"/>
          <w:b/>
          <w:color w:val="000000" w:themeColor="text1"/>
          <w:u w:val="single"/>
        </w:rPr>
        <w:t xml:space="preserve">e Remuneration of </w:t>
      </w:r>
      <w:r w:rsidR="008D2C07">
        <w:rPr>
          <w:rFonts w:ascii="Arial" w:hAnsi="Arial" w:cs="Arial"/>
          <w:b/>
          <w:color w:val="000000" w:themeColor="text1"/>
          <w:u w:val="single"/>
        </w:rPr>
        <w:t xml:space="preserve">the </w:t>
      </w:r>
      <w:r w:rsidRPr="007A69FA" w:rsidR="006D3F54">
        <w:rPr>
          <w:rFonts w:ascii="Arial" w:hAnsi="Arial" w:cs="Arial"/>
          <w:b/>
          <w:color w:val="000000" w:themeColor="text1"/>
          <w:u w:val="single"/>
        </w:rPr>
        <w:t>Executive Director</w:t>
      </w:r>
      <w:r w:rsidRPr="007A69FA">
        <w:rPr>
          <w:rFonts w:ascii="Arial" w:hAnsi="Arial" w:cs="Arial"/>
          <w:b/>
          <w:color w:val="000000" w:themeColor="text1"/>
        </w:rPr>
        <w:t>:</w:t>
      </w:r>
    </w:p>
    <w:p w:rsidRPr="007A69FA" w:rsidR="00DD46FD" w:rsidP="00B115BB" w:rsidRDefault="00DD46FD" w14:paraId="5498AACA" w14:textId="77777777">
      <w:pPr>
        <w:ind w:left="709" w:right="-1411" w:hanging="639"/>
        <w:jc w:val="both"/>
        <w:rPr>
          <w:rFonts w:ascii="Arial" w:hAnsi="Arial" w:cs="Arial"/>
          <w:color w:val="000000" w:themeColor="text1"/>
        </w:rPr>
      </w:pPr>
    </w:p>
    <w:p w:rsidRPr="007A69FA" w:rsidR="00D929F3" w:rsidP="00B115BB" w:rsidRDefault="001D5E8D" w14:paraId="7FDCFA3F" w14:textId="77777777">
      <w:pPr>
        <w:ind w:left="709" w:hanging="639"/>
        <w:jc w:val="both"/>
        <w:rPr>
          <w:rFonts w:ascii="Arial" w:hAnsi="Arial" w:cs="Arial"/>
          <w:color w:val="000000" w:themeColor="text1"/>
        </w:rPr>
      </w:pPr>
      <w:r w:rsidRPr="007A69FA">
        <w:rPr>
          <w:rFonts w:ascii="Arial" w:hAnsi="Arial" w:cs="Arial"/>
          <w:color w:val="000000" w:themeColor="text1"/>
        </w:rPr>
        <w:t>3.1</w:t>
      </w:r>
      <w:r w:rsidRPr="007A69FA" w:rsidR="00DD46FD">
        <w:rPr>
          <w:rFonts w:ascii="Arial" w:hAnsi="Arial" w:cs="Arial"/>
          <w:color w:val="000000" w:themeColor="text1"/>
        </w:rPr>
        <w:tab/>
      </w:r>
      <w:r w:rsidRPr="007A69FA" w:rsidR="00912B7A">
        <w:rPr>
          <w:rFonts w:ascii="Arial" w:hAnsi="Arial" w:cs="Arial"/>
          <w:color w:val="000000" w:themeColor="text1"/>
        </w:rPr>
        <w:t xml:space="preserve">There </w:t>
      </w:r>
      <w:r w:rsidRPr="007A69FA" w:rsidR="00E4530B">
        <w:rPr>
          <w:rFonts w:ascii="Arial" w:hAnsi="Arial" w:cs="Arial"/>
          <w:color w:val="000000" w:themeColor="text1"/>
        </w:rPr>
        <w:t xml:space="preserve">is one </w:t>
      </w:r>
      <w:r w:rsidRPr="007A69FA" w:rsidR="00503E66">
        <w:rPr>
          <w:rFonts w:ascii="Arial" w:hAnsi="Arial" w:cs="Arial"/>
          <w:color w:val="000000" w:themeColor="text1"/>
        </w:rPr>
        <w:t xml:space="preserve">other </w:t>
      </w:r>
      <w:r w:rsidRPr="007A69FA" w:rsidR="005F7DC4">
        <w:rPr>
          <w:rFonts w:ascii="Arial" w:hAnsi="Arial" w:cs="Arial"/>
          <w:color w:val="000000" w:themeColor="text1"/>
        </w:rPr>
        <w:t>Director</w:t>
      </w:r>
      <w:r w:rsidRPr="007A69FA" w:rsidR="00A20E5E">
        <w:rPr>
          <w:rFonts w:ascii="Arial" w:hAnsi="Arial" w:cs="Arial"/>
          <w:color w:val="000000" w:themeColor="text1"/>
        </w:rPr>
        <w:t xml:space="preserve"> in post</w:t>
      </w:r>
      <w:r w:rsidR="009A557F">
        <w:rPr>
          <w:rFonts w:ascii="Arial" w:hAnsi="Arial" w:cs="Arial"/>
          <w:color w:val="000000" w:themeColor="text1"/>
        </w:rPr>
        <w:t xml:space="preserve">; </w:t>
      </w:r>
      <w:r w:rsidRPr="007A69FA" w:rsidR="00DD46FD">
        <w:rPr>
          <w:rFonts w:ascii="Arial" w:hAnsi="Arial" w:cs="Arial"/>
          <w:color w:val="000000" w:themeColor="text1"/>
        </w:rPr>
        <w:t xml:space="preserve">the </w:t>
      </w:r>
      <w:r w:rsidRPr="007A69FA" w:rsidR="00BE2FD5">
        <w:rPr>
          <w:rFonts w:ascii="Arial" w:hAnsi="Arial" w:cs="Arial"/>
          <w:color w:val="000000" w:themeColor="text1"/>
        </w:rPr>
        <w:t xml:space="preserve">Executive </w:t>
      </w:r>
      <w:r w:rsidRPr="007A69FA" w:rsidR="007E585B">
        <w:rPr>
          <w:rFonts w:ascii="Arial" w:hAnsi="Arial" w:cs="Arial"/>
          <w:color w:val="000000" w:themeColor="text1"/>
        </w:rPr>
        <w:t>Director</w:t>
      </w:r>
      <w:r w:rsidRPr="007A69FA" w:rsidR="00DD46FD">
        <w:rPr>
          <w:rFonts w:ascii="Arial" w:hAnsi="Arial" w:cs="Arial"/>
          <w:color w:val="000000" w:themeColor="text1"/>
        </w:rPr>
        <w:t>.</w:t>
      </w:r>
    </w:p>
    <w:p w:rsidRPr="007A69FA" w:rsidR="00E04AF0" w:rsidP="00B115BB" w:rsidRDefault="00DD46FD" w14:paraId="5B792E2F" w14:textId="77777777">
      <w:pPr>
        <w:ind w:left="709" w:hanging="639"/>
        <w:jc w:val="both"/>
        <w:rPr>
          <w:rFonts w:ascii="Arial" w:hAnsi="Arial" w:cs="Arial"/>
          <w:color w:val="000000" w:themeColor="text1"/>
        </w:rPr>
      </w:pPr>
      <w:r w:rsidRPr="007A69FA">
        <w:rPr>
          <w:rFonts w:ascii="Arial" w:hAnsi="Arial" w:cs="Arial"/>
          <w:color w:val="000000" w:themeColor="text1"/>
        </w:rPr>
        <w:t xml:space="preserve"> </w:t>
      </w:r>
    </w:p>
    <w:p w:rsidRPr="007A69FA" w:rsidR="00E04AF0" w:rsidP="00B115BB" w:rsidRDefault="003954FC" w14:paraId="52ED9F1C" w14:textId="77777777">
      <w:pPr>
        <w:ind w:left="709" w:hanging="639"/>
        <w:jc w:val="both"/>
        <w:rPr>
          <w:rFonts w:ascii="Arial" w:hAnsi="Arial" w:cs="Arial"/>
          <w:color w:val="000000" w:themeColor="text1"/>
        </w:rPr>
      </w:pPr>
      <w:r>
        <w:rPr>
          <w:rFonts w:ascii="Arial" w:hAnsi="Arial" w:cs="Arial"/>
          <w:color w:val="000000" w:themeColor="text1"/>
        </w:rPr>
        <w:t>3.2</w:t>
      </w:r>
      <w:r>
        <w:rPr>
          <w:rFonts w:ascii="Arial" w:hAnsi="Arial" w:cs="Arial"/>
          <w:color w:val="000000" w:themeColor="text1"/>
        </w:rPr>
        <w:tab/>
        <w:t xml:space="preserve">The </w:t>
      </w:r>
      <w:r w:rsidRPr="007A69FA" w:rsidR="00E04AF0">
        <w:rPr>
          <w:rFonts w:ascii="Arial" w:hAnsi="Arial" w:cs="Arial"/>
          <w:color w:val="000000" w:themeColor="text1"/>
        </w:rPr>
        <w:t>pay scale</w:t>
      </w:r>
      <w:r>
        <w:rPr>
          <w:rFonts w:ascii="Arial" w:hAnsi="Arial" w:cs="Arial"/>
          <w:color w:val="000000" w:themeColor="text1"/>
        </w:rPr>
        <w:t>s</w:t>
      </w:r>
      <w:r w:rsidRPr="007A69FA" w:rsidR="00E04AF0">
        <w:rPr>
          <w:rFonts w:ascii="Arial" w:hAnsi="Arial" w:cs="Arial"/>
          <w:color w:val="000000" w:themeColor="text1"/>
        </w:rPr>
        <w:t xml:space="preserve"> for the </w:t>
      </w:r>
      <w:r w:rsidRPr="007A69FA" w:rsidR="007E585B">
        <w:rPr>
          <w:rFonts w:ascii="Arial" w:hAnsi="Arial" w:cs="Arial"/>
          <w:color w:val="000000" w:themeColor="text1"/>
        </w:rPr>
        <w:t>Executive Director</w:t>
      </w:r>
      <w:r>
        <w:rPr>
          <w:rFonts w:ascii="Arial" w:hAnsi="Arial" w:cs="Arial"/>
          <w:color w:val="000000" w:themeColor="text1"/>
        </w:rPr>
        <w:t xml:space="preserve"> are</w:t>
      </w:r>
      <w:r w:rsidRPr="007A69FA" w:rsidR="00E04AF0">
        <w:rPr>
          <w:rFonts w:ascii="Arial" w:hAnsi="Arial" w:cs="Arial"/>
          <w:color w:val="000000" w:themeColor="text1"/>
        </w:rPr>
        <w:t xml:space="preserve"> set out in Table </w:t>
      </w:r>
      <w:r w:rsidRPr="007A69FA" w:rsidR="00F73A72">
        <w:rPr>
          <w:rFonts w:ascii="Arial" w:hAnsi="Arial" w:cs="Arial"/>
          <w:color w:val="000000" w:themeColor="text1"/>
        </w:rPr>
        <w:t>B</w:t>
      </w:r>
      <w:r w:rsidRPr="007A69FA" w:rsidR="00516D64">
        <w:rPr>
          <w:rFonts w:ascii="Arial" w:hAnsi="Arial" w:cs="Arial"/>
          <w:color w:val="000000" w:themeColor="text1"/>
        </w:rPr>
        <w:t>:</w:t>
      </w:r>
    </w:p>
    <w:p w:rsidRPr="007A69FA" w:rsidR="00C855FF" w:rsidP="00B115BB" w:rsidRDefault="00C855FF" w14:paraId="00FDCD71" w14:textId="77777777">
      <w:pPr>
        <w:ind w:left="709" w:hanging="639"/>
        <w:jc w:val="both"/>
        <w:rPr>
          <w:rFonts w:ascii="Arial" w:hAnsi="Arial" w:cs="Arial"/>
          <w:color w:val="000000" w:themeColor="text1"/>
        </w:rPr>
      </w:pPr>
    </w:p>
    <w:tbl>
      <w:tblPr>
        <w:tblStyle w:val="TableGrid"/>
        <w:tblpPr w:leftFromText="180" w:rightFromText="180" w:vertAnchor="text" w:tblpXSpec="center" w:tblpY="1"/>
        <w:tblOverlap w:val="never"/>
        <w:tblW w:w="7083" w:type="dxa"/>
        <w:tblLook w:val="04A0" w:firstRow="1" w:lastRow="0" w:firstColumn="1" w:lastColumn="0" w:noHBand="0" w:noVBand="1"/>
      </w:tblPr>
      <w:tblGrid>
        <w:gridCol w:w="2402"/>
        <w:gridCol w:w="2034"/>
        <w:gridCol w:w="2647"/>
      </w:tblGrid>
      <w:tr w:rsidRPr="007A69FA" w:rsidR="00C324BF" w:rsidTr="008D2C07" w14:paraId="231315E7" w14:textId="000BDD2D">
        <w:tc>
          <w:tcPr>
            <w:tcW w:w="7083" w:type="dxa"/>
            <w:gridSpan w:val="3"/>
            <w:tcBorders>
              <w:left w:val="single" w:color="auto" w:sz="4" w:space="0"/>
            </w:tcBorders>
          </w:tcPr>
          <w:p w:rsidRPr="007A69FA" w:rsidR="00C324BF" w:rsidP="003954FC" w:rsidRDefault="00C324BF" w14:paraId="6230BDE5" w14:textId="2E379CB6">
            <w:pPr>
              <w:ind w:left="709" w:hanging="639"/>
              <w:rPr>
                <w:rFonts w:ascii="Arial" w:hAnsi="Arial" w:cs="Arial"/>
                <w:b/>
                <w:color w:val="000000" w:themeColor="text1"/>
              </w:rPr>
            </w:pPr>
            <w:r w:rsidRPr="007A69FA">
              <w:rPr>
                <w:rFonts w:ascii="Arial" w:hAnsi="Arial" w:cs="Arial"/>
                <w:b/>
                <w:color w:val="000000" w:themeColor="text1"/>
              </w:rPr>
              <w:t>TABLE B</w:t>
            </w:r>
            <w:r>
              <w:rPr>
                <w:rFonts w:ascii="Arial" w:hAnsi="Arial" w:cs="Arial"/>
                <w:b/>
                <w:color w:val="000000" w:themeColor="text1"/>
              </w:rPr>
              <w:t xml:space="preserve"> - </w:t>
            </w:r>
            <w:r w:rsidRPr="007A69FA">
              <w:rPr>
                <w:rFonts w:ascii="Arial" w:hAnsi="Arial" w:cs="Arial"/>
                <w:b/>
                <w:bCs/>
                <w:color w:val="000000" w:themeColor="text1"/>
                <w:lang w:eastAsia="en-GB"/>
              </w:rPr>
              <w:t xml:space="preserve"> Executive Director Pay Scale  </w:t>
            </w:r>
          </w:p>
        </w:tc>
      </w:tr>
      <w:tr w:rsidRPr="007A69FA" w:rsidR="00C324BF" w:rsidTr="008D2C07" w14:paraId="543E81B6" w14:textId="02F1DD07">
        <w:tc>
          <w:tcPr>
            <w:tcW w:w="2402" w:type="dxa"/>
            <w:tcBorders>
              <w:left w:val="single" w:color="auto" w:sz="4" w:space="0"/>
            </w:tcBorders>
          </w:tcPr>
          <w:p w:rsidRPr="007A69FA" w:rsidR="00C324BF" w:rsidP="003954FC" w:rsidRDefault="00C324BF" w14:paraId="2E3C16A9" w14:textId="77777777">
            <w:pPr>
              <w:ind w:left="709" w:hanging="639"/>
              <w:rPr>
                <w:rFonts w:ascii="Arial" w:hAnsi="Arial" w:cs="Arial"/>
                <w:color w:val="000000" w:themeColor="text1"/>
              </w:rPr>
            </w:pPr>
            <w:r>
              <w:rPr>
                <w:rFonts w:ascii="Arial" w:hAnsi="Arial" w:cs="Arial"/>
                <w:color w:val="000000" w:themeColor="text1"/>
                <w:lang w:eastAsia="en-GB"/>
              </w:rPr>
              <w:t xml:space="preserve">Scale </w:t>
            </w:r>
            <w:r w:rsidRPr="007A69FA">
              <w:rPr>
                <w:rFonts w:ascii="Arial" w:hAnsi="Arial" w:cs="Arial"/>
                <w:color w:val="000000" w:themeColor="text1"/>
                <w:lang w:eastAsia="en-GB"/>
              </w:rPr>
              <w:t>point</w:t>
            </w:r>
          </w:p>
        </w:tc>
        <w:tc>
          <w:tcPr>
            <w:tcW w:w="2034" w:type="dxa"/>
          </w:tcPr>
          <w:p w:rsidRPr="007A69FA" w:rsidR="00C324BF" w:rsidP="003954FC" w:rsidRDefault="00C324BF" w14:paraId="3455A242" w14:textId="720C8FCF">
            <w:pPr>
              <w:ind w:left="709" w:hanging="639"/>
              <w:rPr>
                <w:rFonts w:ascii="Arial" w:hAnsi="Arial" w:cs="Arial"/>
                <w:color w:val="000000" w:themeColor="text1"/>
                <w:lang w:eastAsia="en-GB"/>
              </w:rPr>
            </w:pPr>
            <w:r>
              <w:rPr>
                <w:rFonts w:ascii="Arial" w:hAnsi="Arial" w:cs="Arial"/>
                <w:color w:val="000000" w:themeColor="text1"/>
                <w:lang w:eastAsia="en-GB"/>
              </w:rPr>
              <w:t>Salary 2</w:t>
            </w:r>
            <w:r w:rsidR="00175469">
              <w:rPr>
                <w:rFonts w:ascii="Arial" w:hAnsi="Arial" w:cs="Arial"/>
                <w:color w:val="000000" w:themeColor="text1"/>
                <w:lang w:eastAsia="en-GB"/>
              </w:rPr>
              <w:t>3</w:t>
            </w:r>
            <w:r>
              <w:rPr>
                <w:rFonts w:ascii="Arial" w:hAnsi="Arial" w:cs="Arial"/>
                <w:color w:val="000000" w:themeColor="text1"/>
                <w:lang w:eastAsia="en-GB"/>
              </w:rPr>
              <w:t>/2</w:t>
            </w:r>
            <w:r w:rsidR="00175469">
              <w:rPr>
                <w:rFonts w:ascii="Arial" w:hAnsi="Arial" w:cs="Arial"/>
                <w:color w:val="000000" w:themeColor="text1"/>
                <w:lang w:eastAsia="en-GB"/>
              </w:rPr>
              <w:t>4</w:t>
            </w:r>
          </w:p>
        </w:tc>
        <w:tc>
          <w:tcPr>
            <w:tcW w:w="2647" w:type="dxa"/>
          </w:tcPr>
          <w:p w:rsidR="00C324BF" w:rsidP="009F3655" w:rsidRDefault="00C324BF" w14:paraId="13B906B3" w14:textId="52FF50AD">
            <w:pPr>
              <w:ind w:left="709" w:hanging="639"/>
              <w:rPr>
                <w:rFonts w:ascii="Arial" w:hAnsi="Arial" w:cs="Arial"/>
                <w:color w:val="000000" w:themeColor="text1"/>
                <w:lang w:eastAsia="en-GB"/>
              </w:rPr>
            </w:pPr>
            <w:r>
              <w:rPr>
                <w:rFonts w:ascii="Arial" w:hAnsi="Arial" w:cs="Arial"/>
                <w:color w:val="000000" w:themeColor="text1"/>
                <w:lang w:eastAsia="en-GB"/>
              </w:rPr>
              <w:t>Salary 2</w:t>
            </w:r>
            <w:r w:rsidR="00175469">
              <w:rPr>
                <w:rFonts w:ascii="Arial" w:hAnsi="Arial" w:cs="Arial"/>
                <w:color w:val="000000" w:themeColor="text1"/>
                <w:lang w:eastAsia="en-GB"/>
              </w:rPr>
              <w:t>4</w:t>
            </w:r>
            <w:r>
              <w:rPr>
                <w:rFonts w:ascii="Arial" w:hAnsi="Arial" w:cs="Arial"/>
                <w:color w:val="000000" w:themeColor="text1"/>
                <w:lang w:eastAsia="en-GB"/>
              </w:rPr>
              <w:t>/2</w:t>
            </w:r>
            <w:r w:rsidR="00175469">
              <w:rPr>
                <w:rFonts w:ascii="Arial" w:hAnsi="Arial" w:cs="Arial"/>
                <w:color w:val="000000" w:themeColor="text1"/>
                <w:lang w:eastAsia="en-GB"/>
              </w:rPr>
              <w:t>5</w:t>
            </w:r>
            <w:r w:rsidR="00B41C17">
              <w:rPr>
                <w:rFonts w:ascii="Arial" w:hAnsi="Arial" w:cs="Arial"/>
                <w:color w:val="000000" w:themeColor="text1"/>
                <w:lang w:eastAsia="en-GB"/>
              </w:rPr>
              <w:t xml:space="preserve"> </w:t>
            </w:r>
          </w:p>
        </w:tc>
      </w:tr>
      <w:tr w:rsidRPr="007A69FA" w:rsidR="00C324BF" w:rsidTr="008D2C07" w14:paraId="6DD0E949" w14:textId="3C42BA80">
        <w:tc>
          <w:tcPr>
            <w:tcW w:w="2402" w:type="dxa"/>
            <w:tcBorders>
              <w:left w:val="single" w:color="auto" w:sz="4" w:space="0"/>
            </w:tcBorders>
          </w:tcPr>
          <w:p w:rsidRPr="007A69FA" w:rsidR="00C324BF" w:rsidP="003954FC" w:rsidRDefault="00C324BF" w14:paraId="7D0304BF"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1</w:t>
            </w:r>
          </w:p>
        </w:tc>
        <w:tc>
          <w:tcPr>
            <w:tcW w:w="2034" w:type="dxa"/>
          </w:tcPr>
          <w:p w:rsidRPr="007A69FA" w:rsidR="00C324BF" w:rsidP="00A34B02" w:rsidRDefault="00C324BF" w14:paraId="02540F05" w14:textId="114EB3CF">
            <w:pPr>
              <w:ind w:left="709" w:hanging="639"/>
              <w:rPr>
                <w:rFonts w:ascii="Arial" w:hAnsi="Arial" w:cs="Arial"/>
                <w:color w:val="000000" w:themeColor="text1"/>
              </w:rPr>
            </w:pPr>
            <w:r w:rsidRPr="003E1D89">
              <w:rPr>
                <w:rFonts w:ascii="Arial" w:hAnsi="Arial" w:cs="Arial"/>
                <w:color w:val="000000"/>
                <w:lang w:eastAsia="en-GB"/>
              </w:rPr>
              <w:t>£</w:t>
            </w:r>
            <w:r w:rsidRPr="003C4371" w:rsidR="00175469">
              <w:rPr>
                <w:rFonts w:ascii="Arial" w:hAnsi="Arial" w:cs="Arial"/>
                <w:color w:val="000000"/>
              </w:rPr>
              <w:t>114,287</w:t>
            </w:r>
          </w:p>
        </w:tc>
        <w:tc>
          <w:tcPr>
            <w:tcW w:w="2647" w:type="dxa"/>
          </w:tcPr>
          <w:p w:rsidRPr="003C4371" w:rsidR="00C324BF" w:rsidP="00175469" w:rsidRDefault="003C4371" w14:paraId="66F99731" w14:textId="3A4EE347">
            <w:pPr>
              <w:rPr>
                <w:rFonts w:ascii="Arial" w:hAnsi="Arial" w:cs="Arial"/>
                <w:color w:val="000000"/>
              </w:rPr>
            </w:pPr>
            <w:r w:rsidRPr="003C4371">
              <w:rPr>
                <w:rFonts w:ascii="Arial" w:hAnsi="Arial" w:cs="Arial"/>
                <w:color w:val="000000"/>
              </w:rPr>
              <w:t>£</w:t>
            </w:r>
            <w:r w:rsidR="00CE2EC9">
              <w:rPr>
                <w:rFonts w:ascii="Arial" w:hAnsi="Arial" w:cs="Arial"/>
                <w:color w:val="000000"/>
              </w:rPr>
              <w:t>118,859</w:t>
            </w:r>
          </w:p>
        </w:tc>
      </w:tr>
      <w:tr w:rsidRPr="007A69FA" w:rsidR="00C324BF" w:rsidTr="008D2C07" w14:paraId="0141A305" w14:textId="102A12B6">
        <w:tc>
          <w:tcPr>
            <w:tcW w:w="2402" w:type="dxa"/>
            <w:tcBorders>
              <w:left w:val="single" w:color="auto" w:sz="4" w:space="0"/>
            </w:tcBorders>
          </w:tcPr>
          <w:p w:rsidRPr="007A69FA" w:rsidR="00C324BF" w:rsidP="003954FC" w:rsidRDefault="00C324BF" w14:paraId="029297C0"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2</w:t>
            </w:r>
          </w:p>
        </w:tc>
        <w:tc>
          <w:tcPr>
            <w:tcW w:w="2034" w:type="dxa"/>
          </w:tcPr>
          <w:p w:rsidRPr="007A69FA" w:rsidR="00C324BF" w:rsidP="00A34B02" w:rsidRDefault="00C324BF" w14:paraId="0A5F3359" w14:textId="3566E03A">
            <w:pPr>
              <w:ind w:left="709" w:hanging="639"/>
              <w:rPr>
                <w:rFonts w:ascii="Arial" w:hAnsi="Arial" w:cs="Arial"/>
                <w:color w:val="000000" w:themeColor="text1"/>
              </w:rPr>
            </w:pPr>
            <w:r w:rsidRPr="003E1D89">
              <w:rPr>
                <w:rFonts w:ascii="Arial" w:hAnsi="Arial" w:cs="Arial"/>
                <w:color w:val="000000"/>
                <w:lang w:eastAsia="en-GB"/>
              </w:rPr>
              <w:t>£</w:t>
            </w:r>
            <w:r w:rsidRPr="003C4371" w:rsidR="00175469">
              <w:rPr>
                <w:rFonts w:ascii="Arial" w:hAnsi="Arial" w:cs="Arial"/>
                <w:color w:val="000000"/>
              </w:rPr>
              <w:t>116,847</w:t>
            </w:r>
          </w:p>
        </w:tc>
        <w:tc>
          <w:tcPr>
            <w:tcW w:w="2647" w:type="dxa"/>
          </w:tcPr>
          <w:p w:rsidRPr="003C4371" w:rsidR="00C324BF" w:rsidP="00175469" w:rsidRDefault="003C4371" w14:paraId="391C96C6" w14:textId="1CAB892F">
            <w:pPr>
              <w:rPr>
                <w:rFonts w:ascii="Arial" w:hAnsi="Arial" w:cs="Arial"/>
                <w:color w:val="000000"/>
              </w:rPr>
            </w:pPr>
            <w:r w:rsidRPr="003C4371">
              <w:rPr>
                <w:rFonts w:ascii="Arial" w:hAnsi="Arial" w:cs="Arial"/>
                <w:color w:val="000000"/>
              </w:rPr>
              <w:t>£</w:t>
            </w:r>
            <w:r w:rsidR="00CE2EC9">
              <w:rPr>
                <w:rFonts w:ascii="Arial" w:hAnsi="Arial" w:cs="Arial"/>
                <w:color w:val="000000"/>
              </w:rPr>
              <w:t>121,521</w:t>
            </w:r>
          </w:p>
        </w:tc>
      </w:tr>
      <w:tr w:rsidRPr="007A69FA" w:rsidR="00C324BF" w:rsidTr="008D2C07" w14:paraId="3DE30B93" w14:textId="18D10EC9">
        <w:tc>
          <w:tcPr>
            <w:tcW w:w="2402" w:type="dxa"/>
            <w:tcBorders>
              <w:left w:val="single" w:color="auto" w:sz="4" w:space="0"/>
            </w:tcBorders>
          </w:tcPr>
          <w:p w:rsidRPr="007A69FA" w:rsidR="00C324BF" w:rsidP="003954FC" w:rsidRDefault="00C324BF" w14:paraId="4E17A772"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3</w:t>
            </w:r>
          </w:p>
        </w:tc>
        <w:tc>
          <w:tcPr>
            <w:tcW w:w="2034" w:type="dxa"/>
          </w:tcPr>
          <w:p w:rsidRPr="007A69FA" w:rsidR="00C324BF" w:rsidP="00A34B02" w:rsidRDefault="00C324BF" w14:paraId="45A3F461" w14:textId="25264402">
            <w:pPr>
              <w:ind w:left="709" w:hanging="639"/>
              <w:rPr>
                <w:rFonts w:ascii="Arial" w:hAnsi="Arial" w:cs="Arial"/>
                <w:color w:val="000000" w:themeColor="text1"/>
              </w:rPr>
            </w:pPr>
            <w:r w:rsidRPr="003E1D89">
              <w:rPr>
                <w:rFonts w:ascii="Arial" w:hAnsi="Arial" w:cs="Arial"/>
                <w:color w:val="000000"/>
                <w:lang w:eastAsia="en-GB"/>
              </w:rPr>
              <w:t>£</w:t>
            </w:r>
            <w:r w:rsidRPr="003C4371" w:rsidR="00175469">
              <w:rPr>
                <w:rFonts w:ascii="Arial" w:hAnsi="Arial" w:cs="Arial"/>
                <w:color w:val="000000"/>
              </w:rPr>
              <w:t>119,404</w:t>
            </w:r>
          </w:p>
        </w:tc>
        <w:tc>
          <w:tcPr>
            <w:tcW w:w="2647" w:type="dxa"/>
          </w:tcPr>
          <w:p w:rsidRPr="003C4371" w:rsidR="00C324BF" w:rsidP="00175469" w:rsidRDefault="003C4371" w14:paraId="2730FB3B" w14:textId="76157163">
            <w:pPr>
              <w:rPr>
                <w:rFonts w:ascii="Arial" w:hAnsi="Arial" w:cs="Arial"/>
                <w:color w:val="000000"/>
              </w:rPr>
            </w:pPr>
            <w:r w:rsidRPr="003C4371">
              <w:rPr>
                <w:rFonts w:ascii="Arial" w:hAnsi="Arial" w:cs="Arial"/>
                <w:color w:val="000000"/>
              </w:rPr>
              <w:t>£</w:t>
            </w:r>
            <w:r w:rsidR="00CE2EC9">
              <w:rPr>
                <w:rFonts w:ascii="Arial" w:hAnsi="Arial" w:cs="Arial"/>
                <w:color w:val="000000"/>
              </w:rPr>
              <w:t>124,181</w:t>
            </w:r>
          </w:p>
        </w:tc>
      </w:tr>
      <w:tr w:rsidRPr="007A69FA" w:rsidR="00C324BF" w:rsidTr="008D2C07" w14:paraId="58B89C2A" w14:textId="1D22C17B">
        <w:tc>
          <w:tcPr>
            <w:tcW w:w="2402" w:type="dxa"/>
            <w:tcBorders>
              <w:left w:val="single" w:color="auto" w:sz="4" w:space="0"/>
            </w:tcBorders>
          </w:tcPr>
          <w:p w:rsidRPr="007A69FA" w:rsidR="00C324BF" w:rsidP="003954FC" w:rsidRDefault="00C324BF" w14:paraId="4A3FD42D"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4</w:t>
            </w:r>
          </w:p>
        </w:tc>
        <w:tc>
          <w:tcPr>
            <w:tcW w:w="2034" w:type="dxa"/>
          </w:tcPr>
          <w:p w:rsidRPr="007A69FA" w:rsidR="00C324BF" w:rsidP="00A34B02" w:rsidRDefault="00C324BF" w14:paraId="7482CB27" w14:textId="0829113C">
            <w:pPr>
              <w:ind w:left="709" w:hanging="639"/>
              <w:rPr>
                <w:rFonts w:ascii="Arial" w:hAnsi="Arial" w:cs="Arial"/>
                <w:color w:val="000000" w:themeColor="text1"/>
              </w:rPr>
            </w:pPr>
            <w:r w:rsidRPr="003E1D89">
              <w:rPr>
                <w:rFonts w:ascii="Arial" w:hAnsi="Arial" w:cs="Arial"/>
                <w:color w:val="000000"/>
                <w:lang w:eastAsia="en-GB"/>
              </w:rPr>
              <w:t>£</w:t>
            </w:r>
            <w:r w:rsidRPr="003C4371" w:rsidR="00175469">
              <w:rPr>
                <w:rFonts w:ascii="Arial" w:hAnsi="Arial" w:cs="Arial"/>
                <w:color w:val="000000"/>
              </w:rPr>
              <w:t>121,963</w:t>
            </w:r>
          </w:p>
        </w:tc>
        <w:tc>
          <w:tcPr>
            <w:tcW w:w="2647" w:type="dxa"/>
          </w:tcPr>
          <w:p w:rsidRPr="003C4371" w:rsidR="00C324BF" w:rsidP="00175469" w:rsidRDefault="003C4371" w14:paraId="59654441" w14:textId="6AEF9C88">
            <w:pPr>
              <w:rPr>
                <w:rFonts w:ascii="Arial" w:hAnsi="Arial" w:cs="Arial"/>
                <w:color w:val="000000"/>
              </w:rPr>
            </w:pPr>
            <w:r w:rsidRPr="003C4371">
              <w:rPr>
                <w:rFonts w:ascii="Arial" w:hAnsi="Arial" w:cs="Arial"/>
                <w:color w:val="000000"/>
              </w:rPr>
              <w:t>£</w:t>
            </w:r>
            <w:r w:rsidR="00CE2EC9">
              <w:rPr>
                <w:rFonts w:ascii="Arial" w:hAnsi="Arial" w:cs="Arial"/>
                <w:color w:val="000000"/>
              </w:rPr>
              <w:t>126,842</w:t>
            </w:r>
          </w:p>
        </w:tc>
      </w:tr>
      <w:tr w:rsidRPr="007A69FA" w:rsidR="00C324BF" w:rsidTr="008D2C07" w14:paraId="02D14414" w14:textId="1CF850C6">
        <w:tc>
          <w:tcPr>
            <w:tcW w:w="2402" w:type="dxa"/>
            <w:tcBorders>
              <w:left w:val="single" w:color="auto" w:sz="4" w:space="0"/>
            </w:tcBorders>
          </w:tcPr>
          <w:p w:rsidRPr="007A69FA" w:rsidR="00C324BF" w:rsidP="003954FC" w:rsidRDefault="00C324BF" w14:paraId="3D4BE0FB"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5</w:t>
            </w:r>
          </w:p>
        </w:tc>
        <w:tc>
          <w:tcPr>
            <w:tcW w:w="2034" w:type="dxa"/>
          </w:tcPr>
          <w:p w:rsidRPr="007A69FA" w:rsidR="00C324BF" w:rsidP="00A34B02" w:rsidRDefault="00C324BF" w14:paraId="40B1DF53" w14:textId="11270AD5">
            <w:pPr>
              <w:ind w:left="709" w:hanging="639"/>
              <w:rPr>
                <w:rFonts w:ascii="Arial" w:hAnsi="Arial" w:cs="Arial"/>
                <w:color w:val="000000" w:themeColor="text1"/>
              </w:rPr>
            </w:pPr>
            <w:r w:rsidRPr="003E1D89">
              <w:rPr>
                <w:rFonts w:ascii="Arial" w:hAnsi="Arial" w:cs="Arial"/>
                <w:color w:val="000000"/>
                <w:lang w:eastAsia="en-GB"/>
              </w:rPr>
              <w:t>£</w:t>
            </w:r>
            <w:r w:rsidRPr="003C4371" w:rsidR="00175469">
              <w:rPr>
                <w:rFonts w:ascii="Arial" w:hAnsi="Arial" w:cs="Arial"/>
                <w:color w:val="000000"/>
              </w:rPr>
              <w:t>126,020</w:t>
            </w:r>
          </w:p>
        </w:tc>
        <w:tc>
          <w:tcPr>
            <w:tcW w:w="2647" w:type="dxa"/>
          </w:tcPr>
          <w:p w:rsidRPr="003C4371" w:rsidR="00C324BF" w:rsidP="00175469" w:rsidRDefault="003C4371" w14:paraId="7D3F89A0" w14:textId="005CBDA7">
            <w:pPr>
              <w:rPr>
                <w:rFonts w:ascii="Arial" w:hAnsi="Arial" w:cs="Arial"/>
                <w:color w:val="000000"/>
              </w:rPr>
            </w:pPr>
            <w:r w:rsidRPr="003C4371">
              <w:rPr>
                <w:rFonts w:ascii="Arial" w:hAnsi="Arial" w:cs="Arial"/>
                <w:color w:val="000000"/>
              </w:rPr>
              <w:t>£</w:t>
            </w:r>
            <w:r w:rsidR="00CE2EC9">
              <w:rPr>
                <w:rFonts w:ascii="Arial" w:hAnsi="Arial" w:cs="Arial"/>
                <w:color w:val="000000"/>
              </w:rPr>
              <w:t>131,061</w:t>
            </w:r>
          </w:p>
        </w:tc>
      </w:tr>
      <w:tr w:rsidRPr="007A69FA" w:rsidR="00C324BF" w:rsidTr="008D2C07" w14:paraId="009CB775" w14:textId="098FCD31">
        <w:tc>
          <w:tcPr>
            <w:tcW w:w="2402" w:type="dxa"/>
            <w:tcBorders>
              <w:left w:val="single" w:color="auto" w:sz="4" w:space="0"/>
            </w:tcBorders>
          </w:tcPr>
          <w:p w:rsidRPr="007A69FA" w:rsidR="00C324BF" w:rsidP="003954FC" w:rsidRDefault="00C324BF" w14:paraId="312D6D56"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6</w:t>
            </w:r>
          </w:p>
        </w:tc>
        <w:tc>
          <w:tcPr>
            <w:tcW w:w="2034" w:type="dxa"/>
          </w:tcPr>
          <w:p w:rsidRPr="007A69FA" w:rsidR="00C324BF" w:rsidP="00A34B02" w:rsidRDefault="00C324BF" w14:paraId="3D4AFB6F" w14:textId="5A13A0E7">
            <w:pPr>
              <w:ind w:left="709" w:hanging="639"/>
              <w:rPr>
                <w:rFonts w:ascii="Arial" w:hAnsi="Arial" w:cs="Arial"/>
                <w:color w:val="000000" w:themeColor="text1"/>
              </w:rPr>
            </w:pPr>
            <w:r w:rsidRPr="003E1D89">
              <w:rPr>
                <w:rFonts w:ascii="Arial" w:hAnsi="Arial" w:cs="Arial"/>
                <w:color w:val="000000"/>
                <w:lang w:eastAsia="en-GB"/>
              </w:rPr>
              <w:t>£</w:t>
            </w:r>
            <w:r w:rsidRPr="003C4371" w:rsidR="00175469">
              <w:rPr>
                <w:rFonts w:ascii="Arial" w:hAnsi="Arial" w:cs="Arial"/>
                <w:color w:val="000000"/>
              </w:rPr>
              <w:t>130,076</w:t>
            </w:r>
          </w:p>
        </w:tc>
        <w:tc>
          <w:tcPr>
            <w:tcW w:w="2647" w:type="dxa"/>
          </w:tcPr>
          <w:p w:rsidRPr="003C4371" w:rsidR="00C324BF" w:rsidP="00175469" w:rsidRDefault="003C4371" w14:paraId="6CBF9343" w14:textId="4B91A331">
            <w:pPr>
              <w:rPr>
                <w:rFonts w:ascii="Arial" w:hAnsi="Arial" w:cs="Arial"/>
                <w:color w:val="000000"/>
              </w:rPr>
            </w:pPr>
            <w:r w:rsidRPr="003C4371">
              <w:rPr>
                <w:rFonts w:ascii="Arial" w:hAnsi="Arial" w:cs="Arial"/>
                <w:color w:val="000000"/>
              </w:rPr>
              <w:t>£</w:t>
            </w:r>
            <w:r w:rsidR="00CE2EC9">
              <w:rPr>
                <w:rFonts w:ascii="Arial" w:hAnsi="Arial" w:cs="Arial"/>
                <w:color w:val="000000"/>
              </w:rPr>
              <w:t>135,280</w:t>
            </w:r>
          </w:p>
        </w:tc>
      </w:tr>
    </w:tbl>
    <w:p w:rsidRPr="007A69FA" w:rsidR="000062D2" w:rsidP="003E1D89" w:rsidRDefault="007E585B" w14:paraId="1736A6B9" w14:textId="29DAF68C">
      <w:pPr>
        <w:ind w:left="709" w:hanging="639"/>
        <w:jc w:val="both"/>
        <w:rPr>
          <w:rFonts w:ascii="Arial" w:hAnsi="Arial" w:cs="Arial"/>
          <w:b/>
          <w:color w:val="000000" w:themeColor="text1"/>
        </w:rPr>
      </w:pPr>
      <w:r w:rsidRPr="007A69FA">
        <w:rPr>
          <w:rFonts w:ascii="Arial" w:hAnsi="Arial" w:cs="Arial"/>
          <w:color w:val="000000" w:themeColor="text1"/>
        </w:rPr>
        <w:br w:type="textWrapping" w:clear="all"/>
      </w:r>
    </w:p>
    <w:p w:rsidRPr="007A69FA" w:rsidR="00E334E9" w:rsidP="00B115BB" w:rsidRDefault="00357821" w14:paraId="26A6C8EC" w14:textId="3BC6D06A">
      <w:pPr>
        <w:ind w:left="709" w:hanging="639"/>
        <w:jc w:val="both"/>
        <w:rPr>
          <w:rFonts w:ascii="Arial" w:hAnsi="Arial" w:cs="Arial"/>
          <w:color w:val="000000" w:themeColor="text1"/>
        </w:rPr>
      </w:pPr>
      <w:r w:rsidRPr="007A69FA">
        <w:rPr>
          <w:rFonts w:ascii="Arial" w:hAnsi="Arial" w:cs="Arial"/>
          <w:color w:val="000000" w:themeColor="text1"/>
        </w:rPr>
        <w:t>3.</w:t>
      </w:r>
      <w:r w:rsidRPr="007A69FA" w:rsidR="004237F9">
        <w:rPr>
          <w:rFonts w:ascii="Arial" w:hAnsi="Arial" w:cs="Arial"/>
          <w:color w:val="000000" w:themeColor="text1"/>
        </w:rPr>
        <w:t>3</w:t>
      </w:r>
      <w:r w:rsidRPr="007A69FA" w:rsidR="00DD46FD">
        <w:rPr>
          <w:rFonts w:ascii="Arial" w:hAnsi="Arial" w:cs="Arial"/>
          <w:color w:val="000000" w:themeColor="text1"/>
        </w:rPr>
        <w:tab/>
        <w:t xml:space="preserve">Benefits in kind for </w:t>
      </w:r>
      <w:r w:rsidR="00175469">
        <w:rPr>
          <w:rFonts w:ascii="Arial" w:hAnsi="Arial" w:cs="Arial"/>
          <w:color w:val="000000" w:themeColor="text1"/>
        </w:rPr>
        <w:t>2023</w:t>
      </w:r>
      <w:r w:rsidR="004A67A4">
        <w:rPr>
          <w:rFonts w:ascii="Arial" w:hAnsi="Arial" w:cs="Arial"/>
          <w:color w:val="000000" w:themeColor="text1"/>
        </w:rPr>
        <w:t>/</w:t>
      </w:r>
      <w:r w:rsidR="00175469">
        <w:rPr>
          <w:rFonts w:ascii="Arial" w:hAnsi="Arial" w:cs="Arial"/>
          <w:color w:val="000000" w:themeColor="text1"/>
        </w:rPr>
        <w:t>24</w:t>
      </w:r>
      <w:r w:rsidRPr="007A69FA" w:rsidR="00175469">
        <w:rPr>
          <w:rFonts w:ascii="Arial" w:hAnsi="Arial" w:cs="Arial"/>
          <w:color w:val="000000" w:themeColor="text1"/>
        </w:rPr>
        <w:t xml:space="preserve"> </w:t>
      </w:r>
      <w:r w:rsidRPr="007A69FA" w:rsidR="00DD46FD">
        <w:rPr>
          <w:rFonts w:ascii="Arial" w:hAnsi="Arial" w:cs="Arial"/>
          <w:color w:val="000000" w:themeColor="text1"/>
        </w:rPr>
        <w:t xml:space="preserve">include Health Care Insurance </w:t>
      </w:r>
      <w:r w:rsidRPr="007A69FA" w:rsidR="00E334E9">
        <w:rPr>
          <w:rFonts w:ascii="Arial" w:hAnsi="Arial" w:cs="Arial"/>
          <w:color w:val="000000" w:themeColor="text1"/>
        </w:rPr>
        <w:t xml:space="preserve">to the value of </w:t>
      </w:r>
      <w:r w:rsidRPr="000F2E6F" w:rsidR="00AF6467">
        <w:rPr>
          <w:rFonts w:ascii="Arial" w:hAnsi="Arial" w:cs="Arial"/>
        </w:rPr>
        <w:t>£</w:t>
      </w:r>
      <w:r w:rsidR="00973EB1">
        <w:rPr>
          <w:rFonts w:ascii="Arial" w:hAnsi="Arial" w:cs="Arial"/>
        </w:rPr>
        <w:t>2,621</w:t>
      </w:r>
      <w:r w:rsidRPr="000F2E6F" w:rsidDel="00651DBB" w:rsidR="00651DBB">
        <w:rPr>
          <w:rFonts w:ascii="Arial" w:hAnsi="Arial" w:cs="Arial"/>
        </w:rPr>
        <w:t xml:space="preserve"> </w:t>
      </w:r>
      <w:r w:rsidR="00F52817">
        <w:rPr>
          <w:rFonts w:ascii="Arial" w:hAnsi="Arial" w:cs="Arial"/>
        </w:rPr>
        <w:t>(non-pensionable)</w:t>
      </w:r>
      <w:r w:rsidRPr="000F2E6F" w:rsidR="007D604A">
        <w:rPr>
          <w:rFonts w:ascii="Arial" w:hAnsi="Arial" w:cs="Arial"/>
        </w:rPr>
        <w:t xml:space="preserve"> </w:t>
      </w:r>
      <w:r w:rsidRPr="000F2E6F" w:rsidR="00B4346F">
        <w:rPr>
          <w:rFonts w:ascii="Arial" w:hAnsi="Arial" w:cs="Arial"/>
        </w:rPr>
        <w:t>and access to a</w:t>
      </w:r>
      <w:r w:rsidRPr="000F2E6F" w:rsidR="00B10F30">
        <w:rPr>
          <w:rFonts w:ascii="Arial" w:hAnsi="Arial" w:cs="Arial"/>
        </w:rPr>
        <w:t>n interest free</w:t>
      </w:r>
      <w:r w:rsidRPr="000F2E6F" w:rsidR="00B4346F">
        <w:rPr>
          <w:rFonts w:ascii="Arial" w:hAnsi="Arial" w:cs="Arial"/>
        </w:rPr>
        <w:t xml:space="preserve"> car loan</w:t>
      </w:r>
      <w:r w:rsidRPr="000F2E6F" w:rsidR="00B10F30">
        <w:rPr>
          <w:rFonts w:ascii="Arial" w:hAnsi="Arial" w:cs="Arial"/>
        </w:rPr>
        <w:t xml:space="preserve"> facility</w:t>
      </w:r>
      <w:r w:rsidR="00EB310C">
        <w:rPr>
          <w:rFonts w:ascii="Arial" w:hAnsi="Arial" w:cs="Arial"/>
        </w:rPr>
        <w:t>, which has not been utilised.</w:t>
      </w:r>
    </w:p>
    <w:p w:rsidRPr="007A69FA" w:rsidR="00DD46FD" w:rsidP="00B115BB" w:rsidRDefault="00DD46FD" w14:paraId="6776D02C" w14:textId="77777777">
      <w:pPr>
        <w:ind w:left="709" w:right="26" w:hanging="639"/>
        <w:jc w:val="both"/>
        <w:rPr>
          <w:rFonts w:ascii="Arial" w:hAnsi="Arial" w:cs="Arial"/>
          <w:color w:val="000000" w:themeColor="text1"/>
        </w:rPr>
      </w:pPr>
    </w:p>
    <w:p w:rsidRPr="007B363B" w:rsidR="00DD46FD" w:rsidP="00B115BB" w:rsidRDefault="00357821" w14:paraId="541D26A6" w14:textId="77777777">
      <w:pPr>
        <w:ind w:left="709" w:right="26" w:hanging="639"/>
        <w:jc w:val="both"/>
        <w:rPr>
          <w:rFonts w:ascii="Arial" w:hAnsi="Arial" w:cs="Arial"/>
        </w:rPr>
      </w:pPr>
      <w:r w:rsidRPr="007A69FA">
        <w:rPr>
          <w:rFonts w:ascii="Arial" w:hAnsi="Arial" w:cs="Arial"/>
          <w:color w:val="000000" w:themeColor="text1"/>
        </w:rPr>
        <w:t>3.</w:t>
      </w:r>
      <w:r w:rsidRPr="007A69FA" w:rsidR="004237F9">
        <w:rPr>
          <w:rFonts w:ascii="Arial" w:hAnsi="Arial" w:cs="Arial"/>
          <w:color w:val="000000" w:themeColor="text1"/>
        </w:rPr>
        <w:t>4</w:t>
      </w:r>
      <w:r w:rsidRPr="007A69FA" w:rsidR="00DD46FD">
        <w:rPr>
          <w:rFonts w:ascii="Arial" w:hAnsi="Arial" w:cs="Arial"/>
          <w:color w:val="000000" w:themeColor="text1"/>
        </w:rPr>
        <w:tab/>
        <w:t>It is the Council’s policy that the FTE salary package for the</w:t>
      </w:r>
      <w:r w:rsidRPr="007A69FA" w:rsidR="00102391">
        <w:rPr>
          <w:rFonts w:ascii="Arial" w:hAnsi="Arial" w:cs="Arial"/>
          <w:color w:val="000000" w:themeColor="text1"/>
        </w:rPr>
        <w:t xml:space="preserve"> </w:t>
      </w:r>
      <w:r w:rsidRPr="007A69FA" w:rsidR="007E585B">
        <w:rPr>
          <w:rFonts w:ascii="Arial" w:hAnsi="Arial" w:cs="Arial"/>
          <w:color w:val="000000" w:themeColor="text1"/>
        </w:rPr>
        <w:t>Executive</w:t>
      </w:r>
      <w:r w:rsidRPr="007A69FA" w:rsidR="00102391">
        <w:rPr>
          <w:rFonts w:ascii="Arial" w:hAnsi="Arial" w:cs="Arial"/>
          <w:color w:val="000000" w:themeColor="text1"/>
        </w:rPr>
        <w:t xml:space="preserve"> Director post</w:t>
      </w:r>
      <w:r w:rsidRPr="007A69FA" w:rsidR="00DD46FD">
        <w:rPr>
          <w:rFonts w:ascii="Arial" w:hAnsi="Arial" w:cs="Arial"/>
          <w:color w:val="000000" w:themeColor="text1"/>
        </w:rPr>
        <w:t>, defined as the maximum of the FTE salary range plus the total value of any benefits in kind payable under the contract of employment, will normally be no greater than 4.5</w:t>
      </w:r>
      <w:r w:rsidRPr="007A69FA" w:rsidR="00654AF0">
        <w:rPr>
          <w:rFonts w:ascii="Arial" w:hAnsi="Arial" w:cs="Arial"/>
          <w:color w:val="000000" w:themeColor="text1"/>
        </w:rPr>
        <w:t xml:space="preserve"> </w:t>
      </w:r>
      <w:r w:rsidRPr="007A69FA" w:rsidR="00DD46FD">
        <w:rPr>
          <w:rFonts w:ascii="Arial" w:hAnsi="Arial" w:cs="Arial"/>
          <w:color w:val="000000" w:themeColor="text1"/>
        </w:rPr>
        <w:t>x the average FTE salary of all employees in the workforce.</w:t>
      </w:r>
      <w:r w:rsidRPr="007A69FA" w:rsidR="00597CD1">
        <w:rPr>
          <w:rFonts w:ascii="Arial" w:hAnsi="Arial" w:cs="Arial"/>
          <w:color w:val="000000" w:themeColor="text1"/>
        </w:rPr>
        <w:t xml:space="preserve"> </w:t>
      </w:r>
      <w:r w:rsidRPr="007B363B" w:rsidR="00356480">
        <w:rPr>
          <w:rStyle w:val="CommentReference"/>
          <w:rFonts w:ascii="Arial" w:hAnsi="Arial" w:cs="Arial"/>
          <w:sz w:val="24"/>
          <w:szCs w:val="24"/>
        </w:rPr>
        <w:t xml:space="preserve">The total pay of </w:t>
      </w:r>
      <w:r w:rsidRPr="007B363B" w:rsidR="00102391">
        <w:rPr>
          <w:rStyle w:val="CommentReference"/>
          <w:rFonts w:ascii="Arial" w:hAnsi="Arial" w:cs="Arial"/>
          <w:sz w:val="24"/>
          <w:szCs w:val="24"/>
        </w:rPr>
        <w:t xml:space="preserve">the </w:t>
      </w:r>
      <w:r w:rsidRPr="007B363B" w:rsidR="007E585B">
        <w:rPr>
          <w:rStyle w:val="CommentReference"/>
          <w:rFonts w:ascii="Arial" w:hAnsi="Arial" w:cs="Arial"/>
          <w:sz w:val="24"/>
          <w:szCs w:val="24"/>
        </w:rPr>
        <w:t>Executive</w:t>
      </w:r>
      <w:r w:rsidRPr="007B363B" w:rsidR="00102391">
        <w:rPr>
          <w:rStyle w:val="CommentReference"/>
          <w:rFonts w:ascii="Arial" w:hAnsi="Arial" w:cs="Arial"/>
          <w:sz w:val="24"/>
          <w:szCs w:val="24"/>
        </w:rPr>
        <w:t xml:space="preserve"> Director </w:t>
      </w:r>
      <w:r w:rsidRPr="007B363B" w:rsidR="00356480">
        <w:rPr>
          <w:rStyle w:val="CommentReference"/>
          <w:rFonts w:ascii="Arial" w:hAnsi="Arial" w:cs="Arial"/>
          <w:sz w:val="24"/>
          <w:szCs w:val="24"/>
        </w:rPr>
        <w:t>is less than the maximum multiple of 4.5 times the average FTE salary</w:t>
      </w:r>
      <w:r w:rsidRPr="007B363B" w:rsidR="007E585B">
        <w:rPr>
          <w:rStyle w:val="CommentReference"/>
          <w:rFonts w:ascii="Arial" w:hAnsi="Arial" w:cs="Arial"/>
          <w:sz w:val="24"/>
          <w:szCs w:val="24"/>
        </w:rPr>
        <w:t>.</w:t>
      </w:r>
    </w:p>
    <w:p w:rsidRPr="007A69FA" w:rsidR="00592C57" w:rsidP="00CB7178" w:rsidRDefault="00592C57" w14:paraId="7D609DCB" w14:textId="77777777">
      <w:pPr>
        <w:tabs>
          <w:tab w:val="left" w:pos="1065"/>
        </w:tabs>
        <w:jc w:val="both"/>
        <w:rPr>
          <w:rFonts w:ascii="Arial" w:hAnsi="Arial" w:cs="Arial"/>
          <w:color w:val="000000" w:themeColor="text1"/>
        </w:rPr>
      </w:pPr>
    </w:p>
    <w:p w:rsidRPr="007A69FA" w:rsidR="00DD46FD" w:rsidP="00CB7178" w:rsidRDefault="00CB7178" w14:paraId="7E927FBC" w14:textId="77777777">
      <w:pPr>
        <w:rPr>
          <w:rFonts w:ascii="Arial" w:hAnsi="Arial" w:cs="Arial"/>
          <w:b/>
          <w:u w:val="single"/>
        </w:rPr>
      </w:pPr>
      <w:r w:rsidRPr="007A69FA">
        <w:rPr>
          <w:rFonts w:ascii="Arial" w:hAnsi="Arial" w:cs="Arial"/>
          <w:b/>
        </w:rPr>
        <w:t>4.</w:t>
      </w:r>
      <w:r w:rsidRPr="007A69FA">
        <w:rPr>
          <w:rFonts w:ascii="Arial" w:hAnsi="Arial" w:cs="Arial"/>
          <w:b/>
        </w:rPr>
        <w:tab/>
      </w:r>
      <w:r w:rsidRPr="007A69FA" w:rsidR="00DD46FD">
        <w:rPr>
          <w:rFonts w:ascii="Arial" w:hAnsi="Arial" w:cs="Arial"/>
          <w:b/>
          <w:u w:val="single"/>
        </w:rPr>
        <w:t>The Remuneration of Heads of Service:</w:t>
      </w:r>
    </w:p>
    <w:p w:rsidRPr="007A69FA" w:rsidR="00DD46FD" w:rsidP="009707AF" w:rsidRDefault="00DD46FD" w14:paraId="553B4D66" w14:textId="77777777">
      <w:pPr>
        <w:tabs>
          <w:tab w:val="left" w:pos="1065"/>
        </w:tabs>
        <w:ind w:firstLine="180"/>
        <w:jc w:val="both"/>
        <w:rPr>
          <w:rFonts w:ascii="Arial" w:hAnsi="Arial" w:cs="Arial"/>
          <w:color w:val="000000" w:themeColor="text1"/>
        </w:rPr>
      </w:pPr>
    </w:p>
    <w:p w:rsidRPr="007A69FA" w:rsidR="00A62C68" w:rsidP="00681E3E" w:rsidRDefault="00DD46FD" w14:paraId="5F1536DE" w14:textId="77777777">
      <w:pPr>
        <w:numPr>
          <w:ilvl w:val="1"/>
          <w:numId w:val="5"/>
        </w:numPr>
        <w:ind w:hanging="644"/>
        <w:jc w:val="both"/>
        <w:rPr>
          <w:rFonts w:ascii="Arial" w:hAnsi="Arial" w:cs="Arial"/>
          <w:color w:val="000000" w:themeColor="text1"/>
        </w:rPr>
      </w:pPr>
      <w:r w:rsidRPr="007A69FA">
        <w:rPr>
          <w:rFonts w:ascii="Arial" w:hAnsi="Arial" w:cs="Arial"/>
          <w:color w:val="000000" w:themeColor="text1"/>
        </w:rPr>
        <w:t xml:space="preserve">There are </w:t>
      </w:r>
      <w:r w:rsidRPr="007A69FA" w:rsidR="00151A5D">
        <w:rPr>
          <w:rFonts w:ascii="Arial" w:hAnsi="Arial" w:cs="Arial"/>
          <w:color w:val="000000" w:themeColor="text1"/>
        </w:rPr>
        <w:t xml:space="preserve">three </w:t>
      </w:r>
      <w:r w:rsidRPr="007A69FA" w:rsidR="00E95FF0">
        <w:rPr>
          <w:rFonts w:ascii="Arial" w:hAnsi="Arial" w:cs="Arial"/>
          <w:color w:val="000000" w:themeColor="text1"/>
        </w:rPr>
        <w:t xml:space="preserve">Heads of Service Plus </w:t>
      </w:r>
      <w:r w:rsidRPr="007A69FA">
        <w:rPr>
          <w:rFonts w:ascii="Arial" w:hAnsi="Arial" w:cs="Arial"/>
          <w:color w:val="000000" w:themeColor="text1"/>
        </w:rPr>
        <w:t>currently in post: the Head of</w:t>
      </w:r>
      <w:r w:rsidRPr="007A69FA" w:rsidR="00AC5DFC">
        <w:rPr>
          <w:rFonts w:ascii="Arial" w:hAnsi="Arial" w:cs="Arial"/>
          <w:color w:val="000000" w:themeColor="text1"/>
        </w:rPr>
        <w:t xml:space="preserve"> </w:t>
      </w:r>
      <w:r w:rsidRPr="007A69FA" w:rsidR="00937B07">
        <w:rPr>
          <w:rFonts w:ascii="Arial" w:hAnsi="Arial" w:cs="Arial"/>
          <w:color w:val="000000" w:themeColor="text1"/>
        </w:rPr>
        <w:t>Partnerships and Community Engagement</w:t>
      </w:r>
      <w:r w:rsidRPr="007A69FA" w:rsidR="00A62C68">
        <w:rPr>
          <w:rFonts w:ascii="Arial" w:hAnsi="Arial" w:cs="Arial"/>
          <w:color w:val="000000" w:themeColor="text1"/>
        </w:rPr>
        <w:t>; the Head of Finance and Business Services</w:t>
      </w:r>
      <w:r w:rsidRPr="007A69FA" w:rsidR="00151A5D">
        <w:rPr>
          <w:rFonts w:ascii="Arial" w:hAnsi="Arial" w:cs="Arial"/>
          <w:color w:val="000000" w:themeColor="text1"/>
        </w:rPr>
        <w:t xml:space="preserve"> and</w:t>
      </w:r>
      <w:r w:rsidRPr="007A69FA" w:rsidR="00A62C68">
        <w:rPr>
          <w:rFonts w:ascii="Arial" w:hAnsi="Arial" w:cs="Arial"/>
          <w:color w:val="000000" w:themeColor="text1"/>
        </w:rPr>
        <w:t xml:space="preserve"> the Head of Legal and Democratic Services</w:t>
      </w:r>
      <w:r w:rsidR="009A557F">
        <w:rPr>
          <w:rFonts w:ascii="Arial" w:hAnsi="Arial" w:cs="Arial"/>
          <w:color w:val="000000" w:themeColor="text1"/>
        </w:rPr>
        <w:t>.</w:t>
      </w:r>
      <w:r w:rsidRPr="007A69FA" w:rsidR="00A62C68">
        <w:rPr>
          <w:rFonts w:ascii="Arial" w:hAnsi="Arial" w:cs="Arial"/>
          <w:color w:val="000000" w:themeColor="text1"/>
        </w:rPr>
        <w:t xml:space="preserve"> </w:t>
      </w:r>
    </w:p>
    <w:p w:rsidRPr="007A69FA" w:rsidR="00681E3E" w:rsidP="009A557F" w:rsidRDefault="00681E3E" w14:paraId="4BE6C34E" w14:textId="77777777">
      <w:pPr>
        <w:jc w:val="both"/>
        <w:rPr>
          <w:rFonts w:ascii="Arial" w:hAnsi="Arial" w:cs="Arial"/>
          <w:color w:val="000000" w:themeColor="text1"/>
        </w:rPr>
      </w:pPr>
    </w:p>
    <w:p w:rsidRPr="007A69FA" w:rsidR="00DD46FD" w:rsidP="00681E3E" w:rsidRDefault="00E95FF0" w14:paraId="6EDF6D50" w14:textId="79A750CC">
      <w:pPr>
        <w:numPr>
          <w:ilvl w:val="1"/>
          <w:numId w:val="5"/>
        </w:numPr>
        <w:tabs>
          <w:tab w:val="clear" w:pos="786"/>
        </w:tabs>
        <w:ind w:left="709" w:hanging="567"/>
        <w:jc w:val="both"/>
        <w:rPr>
          <w:rFonts w:ascii="Arial" w:hAnsi="Arial" w:cs="Arial"/>
          <w:color w:val="000000" w:themeColor="text1"/>
        </w:rPr>
      </w:pPr>
      <w:r w:rsidRPr="007A69FA">
        <w:rPr>
          <w:rFonts w:ascii="Arial" w:hAnsi="Arial" w:cs="Arial"/>
          <w:color w:val="000000" w:themeColor="text1"/>
        </w:rPr>
        <w:t xml:space="preserve">There are </w:t>
      </w:r>
      <w:r w:rsidR="00175469">
        <w:rPr>
          <w:rFonts w:ascii="Arial" w:hAnsi="Arial" w:cs="Arial"/>
          <w:color w:val="000000" w:themeColor="text1"/>
        </w:rPr>
        <w:t>five</w:t>
      </w:r>
      <w:r w:rsidRPr="007A69FA" w:rsidR="00175469">
        <w:rPr>
          <w:rFonts w:ascii="Arial" w:hAnsi="Arial" w:cs="Arial"/>
          <w:color w:val="000000" w:themeColor="text1"/>
        </w:rPr>
        <w:t xml:space="preserve"> </w:t>
      </w:r>
      <w:r w:rsidRPr="007A69FA">
        <w:rPr>
          <w:rFonts w:ascii="Arial" w:hAnsi="Arial" w:cs="Arial"/>
          <w:color w:val="000000" w:themeColor="text1"/>
        </w:rPr>
        <w:t>Heads of Service</w:t>
      </w:r>
      <w:r w:rsidRPr="007A69FA" w:rsidR="00DD46FD">
        <w:rPr>
          <w:rFonts w:ascii="Arial" w:hAnsi="Arial" w:cs="Arial"/>
          <w:color w:val="000000" w:themeColor="text1"/>
        </w:rPr>
        <w:t>;</w:t>
      </w:r>
      <w:r w:rsidRPr="007A69FA" w:rsidR="00DC23D8">
        <w:rPr>
          <w:rFonts w:ascii="Arial" w:hAnsi="Arial" w:cs="Arial"/>
          <w:color w:val="000000" w:themeColor="text1"/>
        </w:rPr>
        <w:t xml:space="preserve"> </w:t>
      </w:r>
      <w:r w:rsidRPr="007A69FA" w:rsidR="00DD46FD">
        <w:rPr>
          <w:rFonts w:ascii="Arial" w:hAnsi="Arial" w:cs="Arial"/>
          <w:color w:val="000000" w:themeColor="text1"/>
        </w:rPr>
        <w:t>the Head of HR</w:t>
      </w:r>
      <w:r w:rsidR="009A557F">
        <w:rPr>
          <w:rFonts w:ascii="Arial" w:hAnsi="Arial" w:cs="Arial"/>
          <w:color w:val="000000" w:themeColor="text1"/>
        </w:rPr>
        <w:t>,</w:t>
      </w:r>
      <w:r w:rsidRPr="007A69FA" w:rsidR="00B84A62">
        <w:rPr>
          <w:rFonts w:ascii="Arial" w:hAnsi="Arial" w:cs="Arial"/>
          <w:color w:val="000000" w:themeColor="text1"/>
        </w:rPr>
        <w:t xml:space="preserve"> the Head of Planning and Economic Development</w:t>
      </w:r>
      <w:r w:rsidR="009A557F">
        <w:rPr>
          <w:rFonts w:ascii="Arial" w:hAnsi="Arial" w:cs="Arial"/>
          <w:color w:val="000000" w:themeColor="text1"/>
        </w:rPr>
        <w:t xml:space="preserve">, </w:t>
      </w:r>
      <w:r w:rsidRPr="007A69FA" w:rsidR="00CD0D54">
        <w:rPr>
          <w:rFonts w:ascii="Arial" w:hAnsi="Arial" w:cs="Arial"/>
          <w:color w:val="000000" w:themeColor="text1"/>
        </w:rPr>
        <w:t xml:space="preserve">the Head of </w:t>
      </w:r>
      <w:r w:rsidRPr="007A69FA" w:rsidR="00151A5D">
        <w:rPr>
          <w:rFonts w:ascii="Arial" w:hAnsi="Arial" w:cs="Arial"/>
          <w:color w:val="000000" w:themeColor="text1"/>
        </w:rPr>
        <w:t>Street Scene</w:t>
      </w:r>
      <w:r w:rsidR="00175469">
        <w:rPr>
          <w:rFonts w:ascii="Arial" w:hAnsi="Arial" w:cs="Arial"/>
          <w:color w:val="000000" w:themeColor="text1"/>
        </w:rPr>
        <w:t>,</w:t>
      </w:r>
      <w:r w:rsidR="00CE2EC9">
        <w:rPr>
          <w:rFonts w:ascii="Arial" w:hAnsi="Arial" w:cs="Arial"/>
          <w:color w:val="000000" w:themeColor="text1"/>
        </w:rPr>
        <w:t xml:space="preserve"> t</w:t>
      </w:r>
      <w:r w:rsidR="009A557F">
        <w:rPr>
          <w:rFonts w:ascii="Arial" w:hAnsi="Arial" w:cs="Arial"/>
          <w:color w:val="000000" w:themeColor="text1"/>
        </w:rPr>
        <w:t>he Head of Engineering Services and Asset Management</w:t>
      </w:r>
      <w:r w:rsidR="00175469">
        <w:rPr>
          <w:rFonts w:ascii="Arial" w:hAnsi="Arial" w:cs="Arial"/>
          <w:color w:val="000000" w:themeColor="text1"/>
        </w:rPr>
        <w:t xml:space="preserve"> and the Head of Environmental Health, Lice</w:t>
      </w:r>
      <w:r w:rsidR="00CE2EC9">
        <w:rPr>
          <w:rFonts w:ascii="Arial" w:hAnsi="Arial" w:cs="Arial"/>
          <w:color w:val="000000" w:themeColor="text1"/>
        </w:rPr>
        <w:t>ns</w:t>
      </w:r>
      <w:r w:rsidR="00175469">
        <w:rPr>
          <w:rFonts w:ascii="Arial" w:hAnsi="Arial" w:cs="Arial"/>
          <w:color w:val="000000" w:themeColor="text1"/>
        </w:rPr>
        <w:t>ing and Resilience.</w:t>
      </w:r>
    </w:p>
    <w:p w:rsidRPr="007A69FA" w:rsidR="00681E3E" w:rsidP="00681E3E" w:rsidRDefault="00681E3E" w14:paraId="0C717812" w14:textId="77777777">
      <w:pPr>
        <w:pStyle w:val="ListParagraph"/>
        <w:ind w:left="709" w:hanging="567"/>
        <w:jc w:val="both"/>
        <w:rPr>
          <w:rFonts w:ascii="Arial" w:hAnsi="Arial" w:cs="Arial"/>
          <w:color w:val="000000" w:themeColor="text1"/>
          <w:sz w:val="24"/>
          <w:szCs w:val="24"/>
        </w:rPr>
      </w:pPr>
    </w:p>
    <w:p w:rsidRPr="007A69FA" w:rsidR="00A62C68" w:rsidP="00681E3E" w:rsidRDefault="00681E3E" w14:paraId="7818147D" w14:textId="77777777">
      <w:pPr>
        <w:pStyle w:val="ListParagraph"/>
        <w:ind w:left="786" w:hanging="644"/>
        <w:jc w:val="both"/>
        <w:rPr>
          <w:rFonts w:ascii="Arial" w:hAnsi="Arial" w:cs="Arial"/>
          <w:color w:val="000000" w:themeColor="text1"/>
          <w:sz w:val="24"/>
          <w:szCs w:val="24"/>
        </w:rPr>
      </w:pPr>
      <w:r w:rsidRPr="007A69FA">
        <w:rPr>
          <w:rFonts w:ascii="Arial" w:hAnsi="Arial" w:cs="Arial"/>
          <w:color w:val="000000" w:themeColor="text1"/>
          <w:sz w:val="24"/>
          <w:szCs w:val="24"/>
        </w:rPr>
        <w:lastRenderedPageBreak/>
        <w:t xml:space="preserve">4.3   </w:t>
      </w:r>
      <w:r w:rsidRPr="007A69FA" w:rsidR="00A62C68">
        <w:rPr>
          <w:rFonts w:ascii="Arial" w:hAnsi="Arial" w:cs="Arial"/>
          <w:color w:val="000000" w:themeColor="text1"/>
          <w:sz w:val="24"/>
          <w:szCs w:val="24"/>
        </w:rPr>
        <w:t xml:space="preserve">The statutory role of Section 151 Officer is held by the Head of Finance and Business Services. The statutory role of Deputy Electoral Registration Officer and the statutory role of Monitoring Officer </w:t>
      </w:r>
      <w:r w:rsidRPr="007A69FA" w:rsidR="002B713F">
        <w:rPr>
          <w:rFonts w:ascii="Arial" w:hAnsi="Arial" w:cs="Arial"/>
          <w:color w:val="000000" w:themeColor="text1"/>
          <w:sz w:val="24"/>
          <w:szCs w:val="24"/>
        </w:rPr>
        <w:t>are</w:t>
      </w:r>
      <w:r w:rsidRPr="007A69FA" w:rsidR="00A62C68">
        <w:rPr>
          <w:rFonts w:ascii="Arial" w:hAnsi="Arial" w:cs="Arial"/>
          <w:color w:val="000000" w:themeColor="text1"/>
          <w:sz w:val="24"/>
          <w:szCs w:val="24"/>
        </w:rPr>
        <w:t xml:space="preserve"> held by the Head of Legal and Democratic Services.</w:t>
      </w:r>
    </w:p>
    <w:p w:rsidRPr="007A69FA" w:rsidR="00681E3E" w:rsidP="00681E3E" w:rsidRDefault="00681E3E" w14:paraId="4ED70A54" w14:textId="77777777">
      <w:pPr>
        <w:pStyle w:val="ListParagraph"/>
        <w:ind w:left="786"/>
        <w:jc w:val="both"/>
        <w:rPr>
          <w:rFonts w:ascii="Arial" w:hAnsi="Arial" w:cs="Arial"/>
          <w:color w:val="000000" w:themeColor="text1"/>
          <w:sz w:val="24"/>
          <w:szCs w:val="24"/>
        </w:rPr>
      </w:pPr>
    </w:p>
    <w:p w:rsidRPr="000501F1" w:rsidR="002F4BFA" w:rsidP="000501F1" w:rsidRDefault="00681E3E" w14:paraId="2AB4095D" w14:textId="77777777">
      <w:pPr>
        <w:pStyle w:val="ListParagraph"/>
        <w:numPr>
          <w:ilvl w:val="1"/>
          <w:numId w:val="28"/>
        </w:numPr>
        <w:ind w:left="709" w:hanging="567"/>
        <w:jc w:val="both"/>
        <w:rPr>
          <w:rFonts w:ascii="Arial" w:hAnsi="Arial" w:cs="Arial"/>
          <w:color w:val="000000" w:themeColor="text1"/>
          <w:sz w:val="24"/>
          <w:szCs w:val="24"/>
        </w:rPr>
      </w:pPr>
      <w:r w:rsidRPr="007A69FA">
        <w:rPr>
          <w:rFonts w:ascii="Arial" w:hAnsi="Arial" w:cs="Arial"/>
          <w:color w:val="000000" w:themeColor="text1"/>
          <w:sz w:val="24"/>
          <w:szCs w:val="24"/>
        </w:rPr>
        <w:t xml:space="preserve"> </w:t>
      </w:r>
      <w:r w:rsidRPr="007A69FA" w:rsidR="00DD46FD">
        <w:rPr>
          <w:rFonts w:ascii="Arial" w:hAnsi="Arial" w:cs="Arial"/>
          <w:color w:val="000000" w:themeColor="text1"/>
          <w:sz w:val="24"/>
          <w:szCs w:val="24"/>
        </w:rPr>
        <w:t xml:space="preserve">The </w:t>
      </w:r>
      <w:r w:rsidR="00295FF2">
        <w:rPr>
          <w:rFonts w:ascii="Arial" w:hAnsi="Arial" w:cs="Arial"/>
          <w:color w:val="000000" w:themeColor="text1"/>
          <w:sz w:val="24"/>
          <w:szCs w:val="24"/>
        </w:rPr>
        <w:t>pay scal</w:t>
      </w:r>
      <w:r w:rsidRPr="007A69FA" w:rsidR="00DD46FD">
        <w:rPr>
          <w:rFonts w:ascii="Arial" w:hAnsi="Arial" w:cs="Arial"/>
          <w:color w:val="000000" w:themeColor="text1"/>
          <w:sz w:val="24"/>
          <w:szCs w:val="24"/>
        </w:rPr>
        <w:t>e</w:t>
      </w:r>
      <w:r w:rsidR="00295FF2">
        <w:rPr>
          <w:rFonts w:ascii="Arial" w:hAnsi="Arial" w:cs="Arial"/>
          <w:color w:val="000000" w:themeColor="text1"/>
          <w:sz w:val="24"/>
          <w:szCs w:val="24"/>
        </w:rPr>
        <w:t>s</w:t>
      </w:r>
      <w:r w:rsidRPr="007A69FA" w:rsidR="00DD46FD">
        <w:rPr>
          <w:rFonts w:ascii="Arial" w:hAnsi="Arial" w:cs="Arial"/>
          <w:color w:val="000000" w:themeColor="text1"/>
          <w:sz w:val="24"/>
          <w:szCs w:val="24"/>
        </w:rPr>
        <w:t xml:space="preserve"> for the Heads of Service </w:t>
      </w:r>
      <w:r w:rsidRPr="007A69FA" w:rsidR="00E95FF0">
        <w:rPr>
          <w:rFonts w:ascii="Arial" w:hAnsi="Arial" w:cs="Arial"/>
          <w:color w:val="000000" w:themeColor="text1"/>
          <w:sz w:val="24"/>
          <w:szCs w:val="24"/>
        </w:rPr>
        <w:t xml:space="preserve">Plus </w:t>
      </w:r>
      <w:r w:rsidR="00295FF2">
        <w:rPr>
          <w:rFonts w:ascii="Arial" w:hAnsi="Arial" w:cs="Arial"/>
          <w:color w:val="000000" w:themeColor="text1"/>
          <w:sz w:val="24"/>
          <w:szCs w:val="24"/>
        </w:rPr>
        <w:t>are</w:t>
      </w:r>
      <w:r w:rsidRPr="007A69FA" w:rsidR="00DD46FD">
        <w:rPr>
          <w:rFonts w:ascii="Arial" w:hAnsi="Arial" w:cs="Arial"/>
          <w:color w:val="000000" w:themeColor="text1"/>
          <w:sz w:val="24"/>
          <w:szCs w:val="24"/>
        </w:rPr>
        <w:t xml:space="preserve"> set out in Table </w:t>
      </w:r>
      <w:r w:rsidRPr="007A69FA" w:rsidR="00E95FF0">
        <w:rPr>
          <w:rFonts w:ascii="Arial" w:hAnsi="Arial" w:cs="Arial"/>
          <w:color w:val="000000" w:themeColor="text1"/>
          <w:sz w:val="24"/>
          <w:szCs w:val="24"/>
        </w:rPr>
        <w:t>C</w:t>
      </w:r>
      <w:r w:rsidRPr="007A69FA" w:rsidR="00516D64">
        <w:rPr>
          <w:rFonts w:ascii="Arial" w:hAnsi="Arial" w:cs="Arial"/>
          <w:color w:val="000000" w:themeColor="text1"/>
          <w:sz w:val="24"/>
          <w:szCs w:val="24"/>
        </w:rPr>
        <w:t>:</w:t>
      </w:r>
      <w:r w:rsidRPr="007A69FA" w:rsidR="00A66405">
        <w:rPr>
          <w:rFonts w:ascii="Arial" w:hAnsi="Arial" w:cs="Arial"/>
          <w:color w:val="000000" w:themeColor="text1"/>
          <w:sz w:val="24"/>
          <w:szCs w:val="24"/>
        </w:rPr>
        <w:t xml:space="preserve"> </w:t>
      </w:r>
    </w:p>
    <w:tbl>
      <w:tblPr>
        <w:tblStyle w:val="TableGrid"/>
        <w:tblW w:w="6804" w:type="dxa"/>
        <w:tblInd w:w="846" w:type="dxa"/>
        <w:tblLook w:val="04A0" w:firstRow="1" w:lastRow="0" w:firstColumn="1" w:lastColumn="0" w:noHBand="0" w:noVBand="1"/>
      </w:tblPr>
      <w:tblGrid>
        <w:gridCol w:w="1417"/>
        <w:gridCol w:w="2694"/>
        <w:gridCol w:w="2693"/>
      </w:tblGrid>
      <w:tr w:rsidRPr="007A69FA" w:rsidR="00C324BF" w:rsidTr="00C324BF" w14:paraId="3344170C" w14:textId="111B73BC">
        <w:tc>
          <w:tcPr>
            <w:tcW w:w="6804" w:type="dxa"/>
            <w:gridSpan w:val="3"/>
            <w:tcBorders>
              <w:right w:val="single" w:color="auto" w:sz="4" w:space="0"/>
            </w:tcBorders>
          </w:tcPr>
          <w:p w:rsidRPr="007A69FA" w:rsidR="00C324BF" w:rsidP="0036488C" w:rsidRDefault="00C324BF" w14:paraId="6533B3CF" w14:textId="79EB04D3">
            <w:pPr>
              <w:tabs>
                <w:tab w:val="num" w:pos="1080"/>
              </w:tabs>
              <w:rPr>
                <w:rFonts w:ascii="Arial" w:hAnsi="Arial" w:cs="Arial"/>
                <w:b/>
                <w:color w:val="000000" w:themeColor="text1"/>
              </w:rPr>
            </w:pPr>
            <w:r w:rsidRPr="007A69FA">
              <w:rPr>
                <w:rFonts w:ascii="Arial" w:hAnsi="Arial" w:cs="Arial"/>
                <w:b/>
                <w:color w:val="000000" w:themeColor="text1"/>
              </w:rPr>
              <w:t>TABLE C</w:t>
            </w:r>
            <w:r>
              <w:rPr>
                <w:rFonts w:ascii="Arial" w:hAnsi="Arial" w:cs="Arial"/>
                <w:b/>
                <w:color w:val="000000" w:themeColor="text1"/>
              </w:rPr>
              <w:t xml:space="preserve"> - </w:t>
            </w:r>
            <w:r w:rsidRPr="007A69FA">
              <w:rPr>
                <w:rFonts w:ascii="Arial" w:hAnsi="Arial" w:cs="Arial"/>
                <w:b/>
                <w:bCs/>
                <w:color w:val="000000" w:themeColor="text1"/>
                <w:lang w:eastAsia="en-GB"/>
              </w:rPr>
              <w:t>Heads of Service Plus Pay Scale</w:t>
            </w:r>
          </w:p>
        </w:tc>
      </w:tr>
      <w:tr w:rsidRPr="007A69FA" w:rsidR="00C324BF" w:rsidTr="00C324BF" w14:paraId="7D86B518" w14:textId="0B85F51A">
        <w:tc>
          <w:tcPr>
            <w:tcW w:w="1417" w:type="dxa"/>
          </w:tcPr>
          <w:p w:rsidRPr="007A69FA" w:rsidR="00C324BF" w:rsidP="0036488C" w:rsidRDefault="00C324BF" w14:paraId="5634F3B6" w14:textId="77777777">
            <w:pPr>
              <w:tabs>
                <w:tab w:val="num" w:pos="1080"/>
              </w:tabs>
              <w:rPr>
                <w:rFonts w:ascii="Arial" w:hAnsi="Arial" w:cs="Arial"/>
                <w:b/>
                <w:bCs/>
                <w:color w:val="000000" w:themeColor="text1"/>
                <w:lang w:eastAsia="en-GB"/>
              </w:rPr>
            </w:pPr>
            <w:r w:rsidRPr="007A69FA">
              <w:rPr>
                <w:rFonts w:ascii="Arial" w:hAnsi="Arial" w:cs="Arial"/>
                <w:color w:val="000000" w:themeColor="text1"/>
                <w:lang w:eastAsia="en-GB"/>
              </w:rPr>
              <w:t>Scale Point</w:t>
            </w:r>
          </w:p>
        </w:tc>
        <w:tc>
          <w:tcPr>
            <w:tcW w:w="2694" w:type="dxa"/>
            <w:tcBorders>
              <w:right w:val="single" w:color="auto" w:sz="4" w:space="0"/>
            </w:tcBorders>
          </w:tcPr>
          <w:p w:rsidRPr="007A69FA" w:rsidR="00C324BF" w:rsidP="0036488C" w:rsidRDefault="00C324BF" w14:paraId="01DFB09A" w14:textId="6AE66E78">
            <w:pPr>
              <w:tabs>
                <w:tab w:val="num" w:pos="1080"/>
              </w:tabs>
              <w:rPr>
                <w:rFonts w:ascii="Arial" w:hAnsi="Arial" w:cs="Arial"/>
                <w:color w:val="000000" w:themeColor="text1"/>
                <w:lang w:eastAsia="en-GB"/>
              </w:rPr>
            </w:pPr>
            <w:r>
              <w:rPr>
                <w:rFonts w:ascii="Arial" w:hAnsi="Arial" w:cs="Arial"/>
                <w:color w:val="000000" w:themeColor="text1"/>
                <w:lang w:eastAsia="en-GB"/>
              </w:rPr>
              <w:t>Salary 2</w:t>
            </w:r>
            <w:r w:rsidR="00175469">
              <w:rPr>
                <w:rFonts w:ascii="Arial" w:hAnsi="Arial" w:cs="Arial"/>
                <w:color w:val="000000" w:themeColor="text1"/>
                <w:lang w:eastAsia="en-GB"/>
              </w:rPr>
              <w:t>3</w:t>
            </w:r>
            <w:r>
              <w:rPr>
                <w:rFonts w:ascii="Arial" w:hAnsi="Arial" w:cs="Arial"/>
                <w:color w:val="000000" w:themeColor="text1"/>
                <w:lang w:eastAsia="en-GB"/>
              </w:rPr>
              <w:t>/2</w:t>
            </w:r>
            <w:r w:rsidR="00175469">
              <w:rPr>
                <w:rFonts w:ascii="Arial" w:hAnsi="Arial" w:cs="Arial"/>
                <w:color w:val="000000" w:themeColor="text1"/>
                <w:lang w:eastAsia="en-GB"/>
              </w:rPr>
              <w:t>4</w:t>
            </w:r>
          </w:p>
        </w:tc>
        <w:tc>
          <w:tcPr>
            <w:tcW w:w="2693" w:type="dxa"/>
            <w:tcBorders>
              <w:right w:val="single" w:color="auto" w:sz="4" w:space="0"/>
            </w:tcBorders>
          </w:tcPr>
          <w:p w:rsidR="00C324BF" w:rsidP="009F3655" w:rsidRDefault="00C324BF" w14:paraId="2D18A550" w14:textId="2D311DA1">
            <w:pPr>
              <w:tabs>
                <w:tab w:val="num" w:pos="1080"/>
              </w:tabs>
              <w:rPr>
                <w:rFonts w:ascii="Arial" w:hAnsi="Arial" w:cs="Arial"/>
                <w:color w:val="000000" w:themeColor="text1"/>
                <w:lang w:eastAsia="en-GB"/>
              </w:rPr>
            </w:pPr>
            <w:r>
              <w:rPr>
                <w:rFonts w:ascii="Arial" w:hAnsi="Arial" w:cs="Arial"/>
                <w:color w:val="000000" w:themeColor="text1"/>
                <w:lang w:eastAsia="en-GB"/>
              </w:rPr>
              <w:t>Salary 2</w:t>
            </w:r>
            <w:r w:rsidR="00175469">
              <w:rPr>
                <w:rFonts w:ascii="Arial" w:hAnsi="Arial" w:cs="Arial"/>
                <w:color w:val="000000" w:themeColor="text1"/>
                <w:lang w:eastAsia="en-GB"/>
              </w:rPr>
              <w:t>4</w:t>
            </w:r>
            <w:r>
              <w:rPr>
                <w:rFonts w:ascii="Arial" w:hAnsi="Arial" w:cs="Arial"/>
                <w:color w:val="000000" w:themeColor="text1"/>
                <w:lang w:eastAsia="en-GB"/>
              </w:rPr>
              <w:t>/2</w:t>
            </w:r>
            <w:r w:rsidR="00175469">
              <w:rPr>
                <w:rFonts w:ascii="Arial" w:hAnsi="Arial" w:cs="Arial"/>
                <w:color w:val="000000" w:themeColor="text1"/>
                <w:lang w:eastAsia="en-GB"/>
              </w:rPr>
              <w:t>5</w:t>
            </w:r>
            <w:r w:rsidR="00B41C17">
              <w:rPr>
                <w:rFonts w:ascii="Arial" w:hAnsi="Arial" w:cs="Arial"/>
                <w:color w:val="000000" w:themeColor="text1"/>
                <w:lang w:eastAsia="en-GB"/>
              </w:rPr>
              <w:t xml:space="preserve"> </w:t>
            </w:r>
          </w:p>
        </w:tc>
      </w:tr>
      <w:tr w:rsidRPr="007A69FA" w:rsidR="00C324BF" w:rsidTr="00C324BF" w14:paraId="039369DE" w14:textId="258AB0C0">
        <w:tc>
          <w:tcPr>
            <w:tcW w:w="1417" w:type="dxa"/>
          </w:tcPr>
          <w:p w:rsidRPr="007A69FA" w:rsidR="00C324BF" w:rsidP="0036488C" w:rsidRDefault="00C324BF" w14:paraId="33DE5FEB"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1</w:t>
            </w:r>
          </w:p>
        </w:tc>
        <w:tc>
          <w:tcPr>
            <w:tcW w:w="2694" w:type="dxa"/>
            <w:tcBorders>
              <w:right w:val="single" w:color="auto" w:sz="4" w:space="0"/>
            </w:tcBorders>
          </w:tcPr>
          <w:p w:rsidRPr="003C4371" w:rsidR="00C324BF" w:rsidP="00A34B02" w:rsidRDefault="00C324BF" w14:paraId="6453F2B8" w14:textId="6A208FD2">
            <w:pPr>
              <w:tabs>
                <w:tab w:val="num" w:pos="1080"/>
              </w:tabs>
              <w:rPr>
                <w:rFonts w:ascii="Arial" w:hAnsi="Arial" w:cs="Arial"/>
                <w:color w:val="000000" w:themeColor="text1"/>
                <w:lang w:eastAsia="en-GB"/>
              </w:rPr>
            </w:pPr>
            <w:r w:rsidRPr="003C4371">
              <w:rPr>
                <w:rFonts w:ascii="Arial" w:hAnsi="Arial" w:cs="Arial"/>
                <w:color w:val="000000"/>
              </w:rPr>
              <w:t>£</w:t>
            </w:r>
            <w:r w:rsidRPr="003C4371" w:rsidR="00175469">
              <w:rPr>
                <w:rFonts w:ascii="Arial" w:hAnsi="Arial" w:cs="Arial"/>
                <w:color w:val="000000"/>
              </w:rPr>
              <w:t>90,621</w:t>
            </w:r>
          </w:p>
        </w:tc>
        <w:tc>
          <w:tcPr>
            <w:tcW w:w="2693" w:type="dxa"/>
            <w:tcBorders>
              <w:right w:val="single" w:color="auto" w:sz="4" w:space="0"/>
            </w:tcBorders>
          </w:tcPr>
          <w:p w:rsidRPr="003C4371" w:rsidR="00C324BF" w:rsidP="00175469" w:rsidRDefault="003C4371" w14:paraId="54AB828D" w14:textId="383A72F5">
            <w:pPr>
              <w:rPr>
                <w:rFonts w:ascii="Arial" w:hAnsi="Arial" w:cs="Arial"/>
                <w:color w:val="000000"/>
              </w:rPr>
            </w:pPr>
            <w:r w:rsidRPr="003C4371">
              <w:rPr>
                <w:rFonts w:ascii="Arial" w:hAnsi="Arial" w:cs="Arial"/>
                <w:color w:val="000000"/>
              </w:rPr>
              <w:t>£</w:t>
            </w:r>
            <w:r w:rsidR="00CE2EC9">
              <w:rPr>
                <w:rFonts w:ascii="Arial" w:hAnsi="Arial" w:cs="Arial"/>
                <w:color w:val="000000"/>
              </w:rPr>
              <w:t>94,246</w:t>
            </w:r>
          </w:p>
        </w:tc>
      </w:tr>
      <w:tr w:rsidRPr="007A69FA" w:rsidR="00C324BF" w:rsidTr="00C324BF" w14:paraId="09B5DB09" w14:textId="52BC3C07">
        <w:tc>
          <w:tcPr>
            <w:tcW w:w="1417" w:type="dxa"/>
          </w:tcPr>
          <w:p w:rsidRPr="007A69FA" w:rsidR="00C324BF" w:rsidP="0036488C" w:rsidRDefault="00C324BF" w14:paraId="49512823"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2</w:t>
            </w:r>
          </w:p>
        </w:tc>
        <w:tc>
          <w:tcPr>
            <w:tcW w:w="2694" w:type="dxa"/>
            <w:tcBorders>
              <w:right w:val="single" w:color="auto" w:sz="4" w:space="0"/>
            </w:tcBorders>
          </w:tcPr>
          <w:p w:rsidRPr="003C4371" w:rsidR="00C324BF" w:rsidP="00A34B02" w:rsidRDefault="00C324BF" w14:paraId="7653D8EC" w14:textId="200CEB89">
            <w:pPr>
              <w:tabs>
                <w:tab w:val="num" w:pos="1080"/>
              </w:tabs>
              <w:rPr>
                <w:rFonts w:ascii="Arial" w:hAnsi="Arial" w:cs="Arial"/>
                <w:color w:val="000000" w:themeColor="text1"/>
                <w:lang w:eastAsia="en-GB"/>
              </w:rPr>
            </w:pPr>
            <w:r w:rsidRPr="003C4371">
              <w:rPr>
                <w:rFonts w:ascii="Arial" w:hAnsi="Arial" w:cs="Arial"/>
                <w:color w:val="000000"/>
              </w:rPr>
              <w:t>£</w:t>
            </w:r>
            <w:r w:rsidRPr="003C4371" w:rsidR="00175469">
              <w:rPr>
                <w:rFonts w:ascii="Arial" w:hAnsi="Arial" w:cs="Arial"/>
                <w:color w:val="000000"/>
              </w:rPr>
              <w:t>93,518</w:t>
            </w:r>
          </w:p>
        </w:tc>
        <w:tc>
          <w:tcPr>
            <w:tcW w:w="2693" w:type="dxa"/>
            <w:tcBorders>
              <w:right w:val="single" w:color="auto" w:sz="4" w:space="0"/>
            </w:tcBorders>
          </w:tcPr>
          <w:p w:rsidRPr="003C4371" w:rsidR="00C324BF" w:rsidP="00175469" w:rsidRDefault="003C4371" w14:paraId="1A57CC76" w14:textId="5F9336D6">
            <w:pPr>
              <w:rPr>
                <w:rFonts w:ascii="Arial" w:hAnsi="Arial" w:cs="Arial"/>
                <w:color w:val="000000"/>
              </w:rPr>
            </w:pPr>
            <w:r w:rsidRPr="003C4371">
              <w:rPr>
                <w:rFonts w:ascii="Arial" w:hAnsi="Arial" w:cs="Arial"/>
                <w:color w:val="000000"/>
              </w:rPr>
              <w:t>£</w:t>
            </w:r>
            <w:r w:rsidR="00CE2EC9">
              <w:rPr>
                <w:rFonts w:ascii="Arial" w:hAnsi="Arial" w:cs="Arial"/>
                <w:color w:val="000000"/>
              </w:rPr>
              <w:t>97,259</w:t>
            </w:r>
          </w:p>
        </w:tc>
      </w:tr>
      <w:tr w:rsidRPr="007A69FA" w:rsidR="00C324BF" w:rsidTr="00C324BF" w14:paraId="32E10CEE" w14:textId="354B7E45">
        <w:tc>
          <w:tcPr>
            <w:tcW w:w="1417" w:type="dxa"/>
          </w:tcPr>
          <w:p w:rsidRPr="007A69FA" w:rsidR="00C324BF" w:rsidP="0036488C" w:rsidRDefault="00C324BF" w14:paraId="20A0A124"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3</w:t>
            </w:r>
          </w:p>
        </w:tc>
        <w:tc>
          <w:tcPr>
            <w:tcW w:w="2694" w:type="dxa"/>
            <w:tcBorders>
              <w:right w:val="single" w:color="auto" w:sz="4" w:space="0"/>
            </w:tcBorders>
          </w:tcPr>
          <w:p w:rsidRPr="003C4371" w:rsidR="00C324BF" w:rsidP="00A34B02" w:rsidRDefault="00C324BF" w14:paraId="7939A0F7" w14:textId="7250FDB9">
            <w:pPr>
              <w:tabs>
                <w:tab w:val="num" w:pos="1080"/>
              </w:tabs>
              <w:rPr>
                <w:rFonts w:ascii="Arial" w:hAnsi="Arial" w:cs="Arial"/>
                <w:color w:val="000000" w:themeColor="text1"/>
                <w:lang w:eastAsia="en-GB"/>
              </w:rPr>
            </w:pPr>
            <w:r w:rsidRPr="003C4371">
              <w:rPr>
                <w:rFonts w:ascii="Arial" w:hAnsi="Arial" w:cs="Arial"/>
                <w:color w:val="000000"/>
              </w:rPr>
              <w:t>£</w:t>
            </w:r>
            <w:r w:rsidRPr="003C4371" w:rsidR="00175469">
              <w:rPr>
                <w:rFonts w:ascii="Arial" w:hAnsi="Arial" w:cs="Arial"/>
                <w:color w:val="000000"/>
              </w:rPr>
              <w:t>96,415</w:t>
            </w:r>
          </w:p>
        </w:tc>
        <w:tc>
          <w:tcPr>
            <w:tcW w:w="2693" w:type="dxa"/>
            <w:tcBorders>
              <w:right w:val="single" w:color="auto" w:sz="4" w:space="0"/>
            </w:tcBorders>
          </w:tcPr>
          <w:p w:rsidRPr="003C4371" w:rsidR="00C324BF" w:rsidP="00175469" w:rsidRDefault="003C4371" w14:paraId="2C37E7C5" w14:textId="76AF77CA">
            <w:pPr>
              <w:rPr>
                <w:rFonts w:ascii="Arial" w:hAnsi="Arial" w:cs="Arial"/>
                <w:color w:val="000000"/>
              </w:rPr>
            </w:pPr>
            <w:r w:rsidRPr="003C4371">
              <w:rPr>
                <w:rFonts w:ascii="Arial" w:hAnsi="Arial" w:cs="Arial"/>
                <w:color w:val="000000"/>
              </w:rPr>
              <w:t>£</w:t>
            </w:r>
            <w:r w:rsidR="00CE2EC9">
              <w:rPr>
                <w:rFonts w:ascii="Arial" w:hAnsi="Arial" w:cs="Arial"/>
                <w:color w:val="000000"/>
              </w:rPr>
              <w:t>100,272</w:t>
            </w:r>
          </w:p>
        </w:tc>
      </w:tr>
    </w:tbl>
    <w:p w:rsidRPr="00270495" w:rsidR="00BA3D76" w:rsidP="00270495" w:rsidRDefault="00BA3D76" w14:paraId="7EB9E132" w14:textId="77777777">
      <w:pPr>
        <w:jc w:val="both"/>
        <w:rPr>
          <w:rFonts w:ascii="Arial" w:hAnsi="Arial" w:cs="Arial"/>
          <w:color w:val="000000" w:themeColor="text1"/>
        </w:rPr>
      </w:pPr>
    </w:p>
    <w:p w:rsidRPr="007A69FA" w:rsidR="00E95FF0" w:rsidP="00FD321B" w:rsidRDefault="007B363B" w14:paraId="3C013A18" w14:textId="77777777">
      <w:pPr>
        <w:tabs>
          <w:tab w:val="left" w:pos="1276"/>
        </w:tabs>
        <w:ind w:left="1134" w:hanging="992"/>
        <w:jc w:val="both"/>
        <w:rPr>
          <w:rFonts w:ascii="Arial" w:hAnsi="Arial" w:cs="Arial"/>
          <w:color w:val="000000" w:themeColor="text1"/>
        </w:rPr>
      </w:pPr>
      <w:r>
        <w:rPr>
          <w:rFonts w:ascii="Arial" w:hAnsi="Arial" w:cs="Arial"/>
          <w:color w:val="000000" w:themeColor="text1"/>
        </w:rPr>
        <w:t>4.5</w:t>
      </w:r>
      <w:r w:rsidR="00295FF2">
        <w:rPr>
          <w:rFonts w:ascii="Arial" w:hAnsi="Arial" w:cs="Arial"/>
          <w:color w:val="000000" w:themeColor="text1"/>
        </w:rPr>
        <w:t xml:space="preserve">      The pay scal</w:t>
      </w:r>
      <w:r w:rsidRPr="007A69FA" w:rsidR="00E95FF0">
        <w:rPr>
          <w:rFonts w:ascii="Arial" w:hAnsi="Arial" w:cs="Arial"/>
          <w:color w:val="000000" w:themeColor="text1"/>
        </w:rPr>
        <w:t>e</w:t>
      </w:r>
      <w:r w:rsidR="00295FF2">
        <w:rPr>
          <w:rFonts w:ascii="Arial" w:hAnsi="Arial" w:cs="Arial"/>
          <w:color w:val="000000" w:themeColor="text1"/>
        </w:rPr>
        <w:t>s</w:t>
      </w:r>
      <w:r w:rsidRPr="007A69FA" w:rsidR="00E95FF0">
        <w:rPr>
          <w:rFonts w:ascii="Arial" w:hAnsi="Arial" w:cs="Arial"/>
          <w:color w:val="000000" w:themeColor="text1"/>
        </w:rPr>
        <w:t xml:space="preserve"> for the</w:t>
      </w:r>
      <w:r w:rsidR="00295FF2">
        <w:rPr>
          <w:rFonts w:ascii="Arial" w:hAnsi="Arial" w:cs="Arial"/>
          <w:color w:val="000000" w:themeColor="text1"/>
        </w:rPr>
        <w:t xml:space="preserve"> Heads of Service are</w:t>
      </w:r>
      <w:r w:rsidRPr="007A69FA" w:rsidR="004344AE">
        <w:rPr>
          <w:rFonts w:ascii="Arial" w:hAnsi="Arial" w:cs="Arial"/>
          <w:color w:val="000000" w:themeColor="text1"/>
        </w:rPr>
        <w:t xml:space="preserve"> set out in </w:t>
      </w:r>
      <w:r w:rsidR="00295FF2">
        <w:rPr>
          <w:rFonts w:ascii="Arial" w:hAnsi="Arial" w:cs="Arial"/>
          <w:color w:val="000000" w:themeColor="text1"/>
        </w:rPr>
        <w:t xml:space="preserve">Table </w:t>
      </w:r>
      <w:r w:rsidRPr="007A69FA" w:rsidR="00CD7A3E">
        <w:rPr>
          <w:rFonts w:ascii="Arial" w:hAnsi="Arial" w:cs="Arial"/>
          <w:color w:val="000000" w:themeColor="text1"/>
        </w:rPr>
        <w:t>D</w:t>
      </w:r>
      <w:r w:rsidRPr="007A69FA" w:rsidR="00516D64">
        <w:rPr>
          <w:rFonts w:ascii="Arial" w:hAnsi="Arial" w:cs="Arial"/>
          <w:color w:val="000000" w:themeColor="text1"/>
        </w:rPr>
        <w:t>:</w:t>
      </w:r>
      <w:r w:rsidRPr="007A69FA" w:rsidR="00E95FF0">
        <w:rPr>
          <w:rFonts w:ascii="Arial" w:hAnsi="Arial" w:cs="Arial"/>
          <w:color w:val="000000" w:themeColor="text1"/>
        </w:rPr>
        <w:t xml:space="preserve"> </w:t>
      </w:r>
    </w:p>
    <w:p w:rsidRPr="007A69FA" w:rsidR="00B4346F" w:rsidP="009707AF" w:rsidRDefault="00B4346F" w14:paraId="161E792C" w14:textId="77777777">
      <w:pPr>
        <w:ind w:left="1134" w:hanging="992"/>
        <w:jc w:val="both"/>
        <w:rPr>
          <w:rFonts w:ascii="Arial" w:hAnsi="Arial" w:cs="Arial"/>
          <w:color w:val="000000" w:themeColor="text1"/>
        </w:rPr>
      </w:pPr>
    </w:p>
    <w:tbl>
      <w:tblPr>
        <w:tblStyle w:val="TableGrid"/>
        <w:tblW w:w="6804" w:type="dxa"/>
        <w:tblInd w:w="846" w:type="dxa"/>
        <w:tblLayout w:type="fixed"/>
        <w:tblLook w:val="04A0" w:firstRow="1" w:lastRow="0" w:firstColumn="1" w:lastColumn="0" w:noHBand="0" w:noVBand="1"/>
      </w:tblPr>
      <w:tblGrid>
        <w:gridCol w:w="1417"/>
        <w:gridCol w:w="2694"/>
        <w:gridCol w:w="2693"/>
      </w:tblGrid>
      <w:tr w:rsidRPr="007A69FA" w:rsidR="00C324BF" w:rsidTr="00C324BF" w14:paraId="1CE2EB93" w14:textId="37CE1502">
        <w:tc>
          <w:tcPr>
            <w:tcW w:w="6804" w:type="dxa"/>
            <w:gridSpan w:val="3"/>
            <w:tcBorders>
              <w:right w:val="single" w:color="auto" w:sz="4" w:space="0"/>
            </w:tcBorders>
          </w:tcPr>
          <w:p w:rsidRPr="007A69FA" w:rsidR="00C324BF" w:rsidP="000501F1" w:rsidRDefault="00C324BF" w14:paraId="7808D25A" w14:textId="5ABDE645">
            <w:pPr>
              <w:tabs>
                <w:tab w:val="num" w:pos="1080"/>
              </w:tabs>
              <w:rPr>
                <w:rFonts w:ascii="Arial" w:hAnsi="Arial" w:cs="Arial"/>
                <w:b/>
                <w:color w:val="000000" w:themeColor="text1"/>
              </w:rPr>
            </w:pPr>
            <w:r w:rsidRPr="007A69FA">
              <w:rPr>
                <w:rFonts w:ascii="Arial" w:hAnsi="Arial" w:cs="Arial"/>
                <w:b/>
                <w:color w:val="000000" w:themeColor="text1"/>
              </w:rPr>
              <w:t>TABLE D</w:t>
            </w:r>
            <w:r>
              <w:rPr>
                <w:rFonts w:ascii="Arial" w:hAnsi="Arial" w:cs="Arial"/>
                <w:b/>
                <w:color w:val="000000" w:themeColor="text1"/>
              </w:rPr>
              <w:t xml:space="preserve"> - </w:t>
            </w:r>
            <w:r w:rsidRPr="007A69FA">
              <w:rPr>
                <w:rFonts w:ascii="Arial" w:hAnsi="Arial" w:cs="Arial"/>
                <w:b/>
                <w:bCs/>
                <w:color w:val="000000" w:themeColor="text1"/>
                <w:lang w:eastAsia="en-GB"/>
              </w:rPr>
              <w:t>Heads of Service Pay Scale</w:t>
            </w:r>
          </w:p>
        </w:tc>
      </w:tr>
      <w:tr w:rsidRPr="007A69FA" w:rsidR="00C324BF" w:rsidTr="00C324BF" w14:paraId="328A81D3" w14:textId="057AC4BB">
        <w:tc>
          <w:tcPr>
            <w:tcW w:w="1417" w:type="dxa"/>
          </w:tcPr>
          <w:p w:rsidRPr="007A69FA" w:rsidR="00C324BF" w:rsidP="000501F1" w:rsidRDefault="00C324BF" w14:paraId="4874305B" w14:textId="77777777">
            <w:pPr>
              <w:tabs>
                <w:tab w:val="num" w:pos="1080"/>
              </w:tabs>
              <w:rPr>
                <w:rFonts w:ascii="Arial" w:hAnsi="Arial" w:cs="Arial"/>
                <w:b/>
                <w:bCs/>
                <w:color w:val="000000" w:themeColor="text1"/>
                <w:lang w:eastAsia="en-GB"/>
              </w:rPr>
            </w:pPr>
            <w:r w:rsidRPr="007A69FA">
              <w:rPr>
                <w:rFonts w:ascii="Arial" w:hAnsi="Arial" w:cs="Arial"/>
                <w:color w:val="000000" w:themeColor="text1"/>
                <w:lang w:eastAsia="en-GB"/>
              </w:rPr>
              <w:t>Scale Point</w:t>
            </w:r>
          </w:p>
        </w:tc>
        <w:tc>
          <w:tcPr>
            <w:tcW w:w="2694" w:type="dxa"/>
            <w:tcBorders>
              <w:right w:val="single" w:color="auto" w:sz="4" w:space="0"/>
            </w:tcBorders>
          </w:tcPr>
          <w:p w:rsidRPr="007A69FA" w:rsidR="00C324BF" w:rsidP="00175469" w:rsidRDefault="00C324BF" w14:paraId="5E7B12BB" w14:textId="719D2974">
            <w:pPr>
              <w:tabs>
                <w:tab w:val="num" w:pos="1080"/>
              </w:tabs>
              <w:rPr>
                <w:rFonts w:ascii="Arial" w:hAnsi="Arial" w:cs="Arial"/>
                <w:color w:val="000000" w:themeColor="text1"/>
                <w:lang w:eastAsia="en-GB"/>
              </w:rPr>
            </w:pPr>
            <w:r>
              <w:rPr>
                <w:rFonts w:ascii="Arial" w:hAnsi="Arial" w:cs="Arial"/>
                <w:color w:val="000000" w:themeColor="text1"/>
                <w:lang w:eastAsia="en-GB"/>
              </w:rPr>
              <w:t xml:space="preserve">Salary </w:t>
            </w:r>
            <w:r w:rsidR="00175469">
              <w:rPr>
                <w:rFonts w:ascii="Arial" w:hAnsi="Arial" w:cs="Arial"/>
                <w:color w:val="000000" w:themeColor="text1"/>
                <w:lang w:eastAsia="en-GB"/>
              </w:rPr>
              <w:t>23</w:t>
            </w:r>
            <w:r>
              <w:rPr>
                <w:rFonts w:ascii="Arial" w:hAnsi="Arial" w:cs="Arial"/>
                <w:color w:val="000000" w:themeColor="text1"/>
                <w:lang w:eastAsia="en-GB"/>
              </w:rPr>
              <w:t>/</w:t>
            </w:r>
            <w:r w:rsidR="00175469">
              <w:rPr>
                <w:rFonts w:ascii="Arial" w:hAnsi="Arial" w:cs="Arial"/>
                <w:color w:val="000000" w:themeColor="text1"/>
                <w:lang w:eastAsia="en-GB"/>
              </w:rPr>
              <w:t>24</w:t>
            </w:r>
          </w:p>
        </w:tc>
        <w:tc>
          <w:tcPr>
            <w:tcW w:w="2693" w:type="dxa"/>
            <w:tcBorders>
              <w:right w:val="single" w:color="auto" w:sz="4" w:space="0"/>
            </w:tcBorders>
          </w:tcPr>
          <w:p w:rsidR="00C324BF" w:rsidP="009F3655" w:rsidRDefault="00C324BF" w14:paraId="51D9DB20" w14:textId="5BF3F3B1">
            <w:pPr>
              <w:tabs>
                <w:tab w:val="num" w:pos="1080"/>
              </w:tabs>
              <w:rPr>
                <w:rFonts w:ascii="Arial" w:hAnsi="Arial" w:cs="Arial"/>
                <w:color w:val="000000" w:themeColor="text1"/>
                <w:lang w:eastAsia="en-GB"/>
              </w:rPr>
            </w:pPr>
            <w:r>
              <w:rPr>
                <w:rFonts w:ascii="Arial" w:hAnsi="Arial" w:cs="Arial"/>
                <w:color w:val="000000" w:themeColor="text1"/>
                <w:lang w:eastAsia="en-GB"/>
              </w:rPr>
              <w:t xml:space="preserve">Salary </w:t>
            </w:r>
            <w:r w:rsidR="00175469">
              <w:rPr>
                <w:rFonts w:ascii="Arial" w:hAnsi="Arial" w:cs="Arial"/>
                <w:color w:val="000000" w:themeColor="text1"/>
                <w:lang w:eastAsia="en-GB"/>
              </w:rPr>
              <w:t>24</w:t>
            </w:r>
            <w:r>
              <w:rPr>
                <w:rFonts w:ascii="Arial" w:hAnsi="Arial" w:cs="Arial"/>
                <w:color w:val="000000" w:themeColor="text1"/>
                <w:lang w:eastAsia="en-GB"/>
              </w:rPr>
              <w:t>/</w:t>
            </w:r>
            <w:r w:rsidR="00175469">
              <w:rPr>
                <w:rFonts w:ascii="Arial" w:hAnsi="Arial" w:cs="Arial"/>
                <w:color w:val="000000" w:themeColor="text1"/>
                <w:lang w:eastAsia="en-GB"/>
              </w:rPr>
              <w:t xml:space="preserve">25 </w:t>
            </w:r>
          </w:p>
        </w:tc>
      </w:tr>
      <w:tr w:rsidRPr="007A69FA" w:rsidR="00C324BF" w:rsidTr="00C324BF" w14:paraId="0F5160CC" w14:textId="2DB84660">
        <w:tc>
          <w:tcPr>
            <w:tcW w:w="1417" w:type="dxa"/>
          </w:tcPr>
          <w:p w:rsidRPr="007A69FA" w:rsidR="00C324BF" w:rsidP="000501F1" w:rsidRDefault="00C324BF" w14:paraId="06A35917"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1</w:t>
            </w:r>
          </w:p>
        </w:tc>
        <w:tc>
          <w:tcPr>
            <w:tcW w:w="2694" w:type="dxa"/>
            <w:tcBorders>
              <w:right w:val="single" w:color="auto" w:sz="4" w:space="0"/>
            </w:tcBorders>
          </w:tcPr>
          <w:p w:rsidRPr="0022589D" w:rsidR="00C324BF" w:rsidP="00A34B02" w:rsidRDefault="00C324BF" w14:paraId="0E668D8F" w14:textId="7D35351E">
            <w:pPr>
              <w:tabs>
                <w:tab w:val="num" w:pos="1080"/>
              </w:tabs>
              <w:rPr>
                <w:rFonts w:ascii="Arial" w:hAnsi="Arial" w:cs="Arial"/>
                <w:color w:val="000000" w:themeColor="text1"/>
                <w:lang w:eastAsia="en-GB"/>
              </w:rPr>
            </w:pPr>
            <w:r w:rsidRPr="0022589D">
              <w:rPr>
                <w:rFonts w:ascii="Arial" w:hAnsi="Arial" w:cs="Arial"/>
                <w:color w:val="000000"/>
              </w:rPr>
              <w:t>£</w:t>
            </w:r>
            <w:r w:rsidRPr="0022589D" w:rsidR="00175469">
              <w:rPr>
                <w:rFonts w:ascii="Arial" w:hAnsi="Arial" w:cs="Arial"/>
                <w:color w:val="000000"/>
              </w:rPr>
              <w:t>77,934</w:t>
            </w:r>
          </w:p>
        </w:tc>
        <w:tc>
          <w:tcPr>
            <w:tcW w:w="2693" w:type="dxa"/>
            <w:tcBorders>
              <w:right w:val="single" w:color="auto" w:sz="4" w:space="0"/>
            </w:tcBorders>
          </w:tcPr>
          <w:p w:rsidRPr="0022589D" w:rsidR="00C324BF" w:rsidP="00175469" w:rsidRDefault="003C4371" w14:paraId="11708BFF" w14:textId="7233C8A3">
            <w:pPr>
              <w:rPr>
                <w:rFonts w:ascii="Arial" w:hAnsi="Arial" w:cs="Arial"/>
                <w:color w:val="000000"/>
              </w:rPr>
            </w:pPr>
            <w:r w:rsidRPr="0022589D">
              <w:rPr>
                <w:rFonts w:ascii="Arial" w:hAnsi="Arial" w:cs="Arial"/>
                <w:color w:val="000000"/>
              </w:rPr>
              <w:t>£</w:t>
            </w:r>
            <w:r w:rsidRPr="0022589D" w:rsidR="00CE2EC9">
              <w:rPr>
                <w:rFonts w:ascii="Arial" w:hAnsi="Arial" w:cs="Arial"/>
                <w:color w:val="000000"/>
              </w:rPr>
              <w:t>81</w:t>
            </w:r>
            <w:r w:rsidR="00F0767A">
              <w:rPr>
                <w:rFonts w:ascii="Arial" w:hAnsi="Arial" w:cs="Arial"/>
                <w:color w:val="000000"/>
              </w:rPr>
              <w:t>,</w:t>
            </w:r>
            <w:r w:rsidRPr="0022589D" w:rsidR="00CE2EC9">
              <w:rPr>
                <w:rFonts w:ascii="Arial" w:hAnsi="Arial" w:cs="Arial"/>
                <w:color w:val="000000"/>
              </w:rPr>
              <w:t>052</w:t>
            </w:r>
          </w:p>
        </w:tc>
      </w:tr>
      <w:tr w:rsidRPr="007A69FA" w:rsidR="00C324BF" w:rsidTr="00C324BF" w14:paraId="4CA87F0D" w14:textId="25B7752E">
        <w:tc>
          <w:tcPr>
            <w:tcW w:w="1417" w:type="dxa"/>
          </w:tcPr>
          <w:p w:rsidRPr="007A69FA" w:rsidR="00C324BF" w:rsidP="000501F1" w:rsidRDefault="00C324BF" w14:paraId="3FFB2E47"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2</w:t>
            </w:r>
          </w:p>
        </w:tc>
        <w:tc>
          <w:tcPr>
            <w:tcW w:w="2694" w:type="dxa"/>
            <w:tcBorders>
              <w:right w:val="single" w:color="auto" w:sz="4" w:space="0"/>
            </w:tcBorders>
          </w:tcPr>
          <w:p w:rsidRPr="0022589D" w:rsidR="00C324BF" w:rsidP="00A34B02" w:rsidRDefault="00C324BF" w14:paraId="6D96C8F6" w14:textId="2C444A93">
            <w:pPr>
              <w:tabs>
                <w:tab w:val="num" w:pos="1080"/>
              </w:tabs>
              <w:rPr>
                <w:rFonts w:ascii="Arial" w:hAnsi="Arial" w:cs="Arial"/>
                <w:color w:val="000000" w:themeColor="text1"/>
                <w:lang w:eastAsia="en-GB"/>
              </w:rPr>
            </w:pPr>
            <w:r w:rsidRPr="0022589D">
              <w:rPr>
                <w:rFonts w:ascii="Arial" w:hAnsi="Arial" w:cs="Arial"/>
                <w:color w:val="000000"/>
              </w:rPr>
              <w:t>£</w:t>
            </w:r>
            <w:r w:rsidRPr="0022589D" w:rsidR="00175469">
              <w:rPr>
                <w:rFonts w:ascii="Arial" w:hAnsi="Arial" w:cs="Arial"/>
                <w:color w:val="000000"/>
              </w:rPr>
              <w:t>79,892</w:t>
            </w:r>
          </w:p>
        </w:tc>
        <w:tc>
          <w:tcPr>
            <w:tcW w:w="2693" w:type="dxa"/>
            <w:tcBorders>
              <w:right w:val="single" w:color="auto" w:sz="4" w:space="0"/>
            </w:tcBorders>
          </w:tcPr>
          <w:p w:rsidRPr="0022589D" w:rsidR="00C324BF" w:rsidP="00175469" w:rsidRDefault="003C4371" w14:paraId="0A171A64" w14:textId="42DA3D75">
            <w:pPr>
              <w:rPr>
                <w:rFonts w:ascii="Arial" w:hAnsi="Arial" w:cs="Arial"/>
                <w:color w:val="000000"/>
              </w:rPr>
            </w:pPr>
            <w:r w:rsidRPr="0022589D">
              <w:rPr>
                <w:rFonts w:ascii="Arial" w:hAnsi="Arial" w:cs="Arial"/>
                <w:color w:val="000000"/>
              </w:rPr>
              <w:t>£</w:t>
            </w:r>
            <w:r w:rsidRPr="0022589D" w:rsidR="00CE2EC9">
              <w:rPr>
                <w:rFonts w:ascii="Arial" w:hAnsi="Arial" w:cs="Arial"/>
                <w:color w:val="000000"/>
              </w:rPr>
              <w:t>83,088</w:t>
            </w:r>
          </w:p>
        </w:tc>
      </w:tr>
      <w:tr w:rsidRPr="007A69FA" w:rsidR="00C324BF" w:rsidTr="00C324BF" w14:paraId="6E43A79B" w14:textId="335C160B">
        <w:tc>
          <w:tcPr>
            <w:tcW w:w="1417" w:type="dxa"/>
          </w:tcPr>
          <w:p w:rsidRPr="007A69FA" w:rsidR="00C324BF" w:rsidP="000501F1" w:rsidRDefault="00C324BF" w14:paraId="771EEEF6"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3</w:t>
            </w:r>
          </w:p>
        </w:tc>
        <w:tc>
          <w:tcPr>
            <w:tcW w:w="2694" w:type="dxa"/>
            <w:tcBorders>
              <w:right w:val="single" w:color="auto" w:sz="4" w:space="0"/>
            </w:tcBorders>
          </w:tcPr>
          <w:p w:rsidRPr="0022589D" w:rsidR="00C324BF" w:rsidP="00A34B02" w:rsidRDefault="00C324BF" w14:paraId="4E38A5F6" w14:textId="03EF8FA7">
            <w:pPr>
              <w:tabs>
                <w:tab w:val="num" w:pos="1080"/>
              </w:tabs>
              <w:rPr>
                <w:rFonts w:ascii="Arial" w:hAnsi="Arial" w:cs="Arial"/>
                <w:color w:val="000000" w:themeColor="text1"/>
                <w:lang w:eastAsia="en-GB"/>
              </w:rPr>
            </w:pPr>
            <w:r w:rsidRPr="0022589D">
              <w:rPr>
                <w:rFonts w:ascii="Arial" w:hAnsi="Arial" w:cs="Arial"/>
                <w:color w:val="000000"/>
              </w:rPr>
              <w:t>£</w:t>
            </w:r>
            <w:r w:rsidRPr="0022589D" w:rsidR="00175469">
              <w:rPr>
                <w:rFonts w:ascii="Arial" w:hAnsi="Arial" w:cs="Arial"/>
                <w:color w:val="000000"/>
              </w:rPr>
              <w:t>81,851</w:t>
            </w:r>
          </w:p>
        </w:tc>
        <w:tc>
          <w:tcPr>
            <w:tcW w:w="2693" w:type="dxa"/>
            <w:tcBorders>
              <w:right w:val="single" w:color="auto" w:sz="4" w:space="0"/>
            </w:tcBorders>
          </w:tcPr>
          <w:p w:rsidRPr="0022589D" w:rsidR="00C324BF" w:rsidP="00175469" w:rsidRDefault="003C4371" w14:paraId="6EC661CF" w14:textId="116A5856">
            <w:pPr>
              <w:rPr>
                <w:rFonts w:ascii="Arial" w:hAnsi="Arial" w:cs="Arial"/>
                <w:color w:val="000000"/>
              </w:rPr>
            </w:pPr>
            <w:r w:rsidRPr="0022589D">
              <w:rPr>
                <w:rFonts w:ascii="Arial" w:hAnsi="Arial" w:cs="Arial"/>
                <w:color w:val="000000"/>
              </w:rPr>
              <w:t>£</w:t>
            </w:r>
            <w:r w:rsidRPr="0022589D" w:rsidR="00CE2EC9">
              <w:rPr>
                <w:rFonts w:ascii="Arial" w:hAnsi="Arial" w:cs="Arial"/>
                <w:color w:val="000000"/>
              </w:rPr>
              <w:t>85,126</w:t>
            </w:r>
          </w:p>
        </w:tc>
      </w:tr>
      <w:tr w:rsidRPr="007A69FA" w:rsidR="00C324BF" w:rsidTr="00C324BF" w14:paraId="1EE40DF3" w14:textId="4BA33CC8">
        <w:tc>
          <w:tcPr>
            <w:tcW w:w="1417" w:type="dxa"/>
          </w:tcPr>
          <w:p w:rsidRPr="007A69FA" w:rsidR="00C324BF" w:rsidP="000501F1" w:rsidRDefault="00C324BF" w14:paraId="3481CBF6"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4</w:t>
            </w:r>
          </w:p>
        </w:tc>
        <w:tc>
          <w:tcPr>
            <w:tcW w:w="2694" w:type="dxa"/>
            <w:tcBorders>
              <w:right w:val="single" w:color="auto" w:sz="4" w:space="0"/>
            </w:tcBorders>
          </w:tcPr>
          <w:p w:rsidRPr="0022589D" w:rsidR="00C324BF" w:rsidP="00A34B02" w:rsidRDefault="00C324BF" w14:paraId="5E3B2AC1" w14:textId="33DF8F34">
            <w:pPr>
              <w:tabs>
                <w:tab w:val="num" w:pos="1080"/>
              </w:tabs>
              <w:rPr>
                <w:rFonts w:ascii="Arial" w:hAnsi="Arial" w:cs="Arial"/>
                <w:color w:val="000000" w:themeColor="text1"/>
                <w:lang w:eastAsia="en-GB"/>
              </w:rPr>
            </w:pPr>
            <w:r w:rsidRPr="0022589D">
              <w:rPr>
                <w:rFonts w:ascii="Arial" w:hAnsi="Arial" w:cs="Arial"/>
                <w:color w:val="000000"/>
              </w:rPr>
              <w:t>£</w:t>
            </w:r>
            <w:r w:rsidRPr="0022589D" w:rsidR="00175469">
              <w:rPr>
                <w:rFonts w:ascii="Arial" w:hAnsi="Arial" w:cs="Arial"/>
                <w:color w:val="000000"/>
              </w:rPr>
              <w:t>83,807</w:t>
            </w:r>
          </w:p>
        </w:tc>
        <w:tc>
          <w:tcPr>
            <w:tcW w:w="2693" w:type="dxa"/>
            <w:tcBorders>
              <w:right w:val="single" w:color="auto" w:sz="4" w:space="0"/>
            </w:tcBorders>
          </w:tcPr>
          <w:p w:rsidRPr="0022589D" w:rsidR="00C324BF" w:rsidP="00175469" w:rsidRDefault="003C4371" w14:paraId="505FA4CA" w14:textId="40B2CFCF">
            <w:pPr>
              <w:rPr>
                <w:rFonts w:ascii="Arial" w:hAnsi="Arial" w:cs="Arial"/>
                <w:color w:val="000000"/>
              </w:rPr>
            </w:pPr>
            <w:r w:rsidRPr="0022589D">
              <w:rPr>
                <w:rFonts w:ascii="Arial" w:hAnsi="Arial" w:cs="Arial"/>
                <w:color w:val="000000"/>
              </w:rPr>
              <w:t>£</w:t>
            </w:r>
            <w:r w:rsidRPr="0022589D" w:rsidR="00CE2EC9">
              <w:rPr>
                <w:rFonts w:ascii="Arial" w:hAnsi="Arial" w:cs="Arial"/>
                <w:color w:val="000000"/>
              </w:rPr>
              <w:t>87,160</w:t>
            </w:r>
          </w:p>
        </w:tc>
      </w:tr>
      <w:tr w:rsidRPr="007A69FA" w:rsidR="00C324BF" w:rsidTr="00C324BF" w14:paraId="0275466D" w14:textId="0041B4F3">
        <w:tc>
          <w:tcPr>
            <w:tcW w:w="1417" w:type="dxa"/>
          </w:tcPr>
          <w:p w:rsidRPr="007A69FA" w:rsidR="00C324BF" w:rsidP="000501F1" w:rsidRDefault="00C324BF" w14:paraId="2DF7E2F8"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5</w:t>
            </w:r>
          </w:p>
        </w:tc>
        <w:tc>
          <w:tcPr>
            <w:tcW w:w="2694" w:type="dxa"/>
            <w:tcBorders>
              <w:right w:val="single" w:color="auto" w:sz="4" w:space="0"/>
            </w:tcBorders>
          </w:tcPr>
          <w:p w:rsidRPr="0022589D" w:rsidR="00C324BF" w:rsidP="00A34B02" w:rsidRDefault="00C324BF" w14:paraId="1CCD1397" w14:textId="791DBDFC">
            <w:pPr>
              <w:tabs>
                <w:tab w:val="num" w:pos="1080"/>
              </w:tabs>
              <w:rPr>
                <w:rFonts w:ascii="Arial" w:hAnsi="Arial" w:cs="Arial"/>
                <w:color w:val="000000" w:themeColor="text1"/>
                <w:lang w:eastAsia="en-GB"/>
              </w:rPr>
            </w:pPr>
            <w:r w:rsidRPr="0022589D">
              <w:rPr>
                <w:rFonts w:ascii="Arial" w:hAnsi="Arial" w:cs="Arial"/>
                <w:color w:val="000000"/>
              </w:rPr>
              <w:t>£</w:t>
            </w:r>
            <w:r w:rsidRPr="0022589D" w:rsidR="00175469">
              <w:rPr>
                <w:rFonts w:ascii="Arial" w:hAnsi="Arial" w:cs="Arial"/>
                <w:color w:val="000000"/>
              </w:rPr>
              <w:t>85,766</w:t>
            </w:r>
          </w:p>
        </w:tc>
        <w:tc>
          <w:tcPr>
            <w:tcW w:w="2693" w:type="dxa"/>
            <w:tcBorders>
              <w:right w:val="single" w:color="auto" w:sz="4" w:space="0"/>
            </w:tcBorders>
          </w:tcPr>
          <w:p w:rsidRPr="0022589D" w:rsidR="00C324BF" w:rsidP="00175469" w:rsidRDefault="003C4371" w14:paraId="73C78067" w14:textId="20E10F38">
            <w:pPr>
              <w:rPr>
                <w:rFonts w:ascii="Arial" w:hAnsi="Arial" w:cs="Arial"/>
                <w:color w:val="000000"/>
              </w:rPr>
            </w:pPr>
            <w:r w:rsidRPr="0022589D">
              <w:rPr>
                <w:rFonts w:ascii="Arial" w:hAnsi="Arial" w:cs="Arial"/>
                <w:color w:val="000000"/>
              </w:rPr>
              <w:t>£</w:t>
            </w:r>
            <w:r w:rsidRPr="0022589D" w:rsidR="00CE2EC9">
              <w:rPr>
                <w:rFonts w:ascii="Arial" w:hAnsi="Arial" w:cs="Arial"/>
                <w:color w:val="000000"/>
              </w:rPr>
              <w:t>89,197</w:t>
            </w:r>
          </w:p>
        </w:tc>
      </w:tr>
      <w:tr w:rsidRPr="007A69FA" w:rsidR="00C324BF" w:rsidTr="00C324BF" w14:paraId="3277ED14" w14:textId="4795DD1D">
        <w:tc>
          <w:tcPr>
            <w:tcW w:w="1417" w:type="dxa"/>
          </w:tcPr>
          <w:p w:rsidRPr="007A69FA" w:rsidR="00C324BF" w:rsidP="000501F1" w:rsidRDefault="00C324BF" w14:paraId="681B6A69"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6</w:t>
            </w:r>
          </w:p>
        </w:tc>
        <w:tc>
          <w:tcPr>
            <w:tcW w:w="2694" w:type="dxa"/>
            <w:tcBorders>
              <w:right w:val="single" w:color="auto" w:sz="4" w:space="0"/>
            </w:tcBorders>
          </w:tcPr>
          <w:p w:rsidRPr="0022589D" w:rsidR="00C324BF" w:rsidP="00A34B02" w:rsidRDefault="00C324BF" w14:paraId="43FF4146" w14:textId="1238B87D">
            <w:pPr>
              <w:tabs>
                <w:tab w:val="num" w:pos="1080"/>
              </w:tabs>
              <w:rPr>
                <w:rFonts w:ascii="Arial" w:hAnsi="Arial" w:cs="Arial"/>
                <w:color w:val="000000" w:themeColor="text1"/>
                <w:lang w:eastAsia="en-GB"/>
              </w:rPr>
            </w:pPr>
            <w:r w:rsidRPr="0022589D">
              <w:rPr>
                <w:rFonts w:ascii="Arial" w:hAnsi="Arial" w:cs="Arial"/>
                <w:color w:val="000000"/>
              </w:rPr>
              <w:t>£</w:t>
            </w:r>
            <w:r w:rsidRPr="0022589D" w:rsidR="00175469">
              <w:rPr>
                <w:rFonts w:ascii="Arial" w:hAnsi="Arial" w:cs="Arial"/>
                <w:color w:val="000000"/>
              </w:rPr>
              <w:t>87,724</w:t>
            </w:r>
          </w:p>
        </w:tc>
        <w:tc>
          <w:tcPr>
            <w:tcW w:w="2693" w:type="dxa"/>
            <w:tcBorders>
              <w:right w:val="single" w:color="auto" w:sz="4" w:space="0"/>
            </w:tcBorders>
          </w:tcPr>
          <w:p w:rsidRPr="0022589D" w:rsidR="00C324BF" w:rsidP="00175469" w:rsidRDefault="003C4371" w14:paraId="5B5086C3" w14:textId="277546FD">
            <w:pPr>
              <w:rPr>
                <w:rFonts w:ascii="Arial" w:hAnsi="Arial" w:cs="Arial"/>
                <w:color w:val="000000"/>
              </w:rPr>
            </w:pPr>
            <w:r w:rsidRPr="0022589D">
              <w:rPr>
                <w:rFonts w:ascii="Arial" w:hAnsi="Arial" w:cs="Arial"/>
                <w:color w:val="000000"/>
              </w:rPr>
              <w:t>£</w:t>
            </w:r>
            <w:r w:rsidRPr="0022589D" w:rsidR="00CE2EC9">
              <w:rPr>
                <w:rFonts w:ascii="Arial" w:hAnsi="Arial" w:cs="Arial"/>
                <w:color w:val="000000"/>
              </w:rPr>
              <w:t>91,233</w:t>
            </w:r>
          </w:p>
        </w:tc>
      </w:tr>
    </w:tbl>
    <w:p w:rsidRPr="007A69FA" w:rsidR="00516D64" w:rsidP="00C855FF" w:rsidRDefault="00516D64" w14:paraId="3DCED927" w14:textId="77777777">
      <w:pPr>
        <w:ind w:left="1134" w:hanging="992"/>
        <w:jc w:val="both"/>
        <w:rPr>
          <w:rFonts w:ascii="Arial" w:hAnsi="Arial" w:cs="Arial"/>
          <w:color w:val="000000" w:themeColor="text1"/>
        </w:rPr>
      </w:pPr>
    </w:p>
    <w:p w:rsidR="007B363B" w:rsidP="007B363B" w:rsidRDefault="00A02125" w14:paraId="436D928C" w14:textId="006A2FF8">
      <w:pPr>
        <w:ind w:left="1134" w:hanging="992"/>
        <w:jc w:val="both"/>
        <w:rPr>
          <w:rFonts w:ascii="Arial" w:hAnsi="Arial" w:cs="Arial"/>
          <w:color w:val="FF0000"/>
        </w:rPr>
      </w:pPr>
      <w:r w:rsidRPr="007A69FA">
        <w:rPr>
          <w:rFonts w:ascii="Arial" w:hAnsi="Arial" w:cs="Arial"/>
          <w:color w:val="000000" w:themeColor="text1"/>
        </w:rPr>
        <w:t>4.</w:t>
      </w:r>
      <w:r w:rsidR="007B363B">
        <w:rPr>
          <w:rFonts w:ascii="Arial" w:hAnsi="Arial" w:cs="Arial"/>
          <w:color w:val="000000" w:themeColor="text1"/>
        </w:rPr>
        <w:t>6</w:t>
      </w:r>
      <w:r w:rsidRPr="007A69FA" w:rsidR="00C855FF">
        <w:rPr>
          <w:rFonts w:ascii="Arial" w:hAnsi="Arial" w:cs="Arial"/>
          <w:color w:val="000000" w:themeColor="text1"/>
        </w:rPr>
        <w:tab/>
      </w:r>
      <w:r w:rsidRPr="007A69FA" w:rsidR="00DD46FD">
        <w:rPr>
          <w:rFonts w:ascii="Arial" w:hAnsi="Arial" w:cs="Arial"/>
          <w:color w:val="000000" w:themeColor="text1"/>
        </w:rPr>
        <w:t xml:space="preserve">Benefits in kind include access to an interest free car loan facility. </w:t>
      </w:r>
      <w:r w:rsidRPr="007A69FA" w:rsidR="00C57BE8">
        <w:rPr>
          <w:rFonts w:ascii="Arial" w:hAnsi="Arial" w:cs="Arial"/>
          <w:color w:val="000000" w:themeColor="text1"/>
        </w:rPr>
        <w:t xml:space="preserve"> </w:t>
      </w:r>
      <w:r w:rsidR="00623CE7">
        <w:rPr>
          <w:rFonts w:ascii="Arial" w:hAnsi="Arial" w:cs="Arial"/>
          <w:color w:val="000000" w:themeColor="text1"/>
        </w:rPr>
        <w:t>This facility has not been utilised by any of the Heads of Service.</w:t>
      </w:r>
    </w:p>
    <w:p w:rsidR="007B363B" w:rsidP="007B363B" w:rsidRDefault="007B363B" w14:paraId="5D9BD57B" w14:textId="77777777">
      <w:pPr>
        <w:ind w:left="1134" w:hanging="992"/>
        <w:jc w:val="both"/>
        <w:rPr>
          <w:rFonts w:ascii="Arial" w:hAnsi="Arial" w:cs="Arial"/>
          <w:color w:val="FF0000"/>
        </w:rPr>
      </w:pPr>
    </w:p>
    <w:p w:rsidR="00DD46FD" w:rsidP="007B363B" w:rsidRDefault="007B363B" w14:paraId="3E59BA9B" w14:textId="6902E9C7">
      <w:pPr>
        <w:ind w:left="1134" w:hanging="992"/>
        <w:jc w:val="both"/>
        <w:rPr>
          <w:rStyle w:val="CommentReference"/>
          <w:rFonts w:ascii="Arial" w:hAnsi="Arial" w:cs="Arial"/>
          <w:sz w:val="24"/>
          <w:szCs w:val="24"/>
        </w:rPr>
      </w:pPr>
      <w:r>
        <w:rPr>
          <w:rFonts w:ascii="Arial" w:hAnsi="Arial" w:cs="Arial"/>
        </w:rPr>
        <w:t>4.7</w:t>
      </w:r>
      <w:r w:rsidRPr="007B363B">
        <w:rPr>
          <w:rFonts w:ascii="Arial" w:hAnsi="Arial" w:cs="Arial"/>
        </w:rPr>
        <w:tab/>
      </w:r>
      <w:r w:rsidRPr="007B363B" w:rsidR="00DD46FD">
        <w:rPr>
          <w:rFonts w:ascii="Arial" w:hAnsi="Arial" w:cs="Arial"/>
          <w:color w:val="000000" w:themeColor="text1"/>
        </w:rPr>
        <w:t xml:space="preserve">It is the Council’s policy that the FTE salary package for the established Head of Service posts, defined as the maximum of the FTE salary range plus the total value of any benefits in kind payable under the contract of employment, will normally be no greater than 3 x the average FTE salary of </w:t>
      </w:r>
      <w:r w:rsidRPr="007B363B" w:rsidR="00DA72E4">
        <w:rPr>
          <w:rFonts w:ascii="Arial" w:hAnsi="Arial" w:cs="Arial"/>
          <w:color w:val="000000" w:themeColor="text1"/>
        </w:rPr>
        <w:t>all employees in the work</w:t>
      </w:r>
      <w:r w:rsidRPr="007B363B" w:rsidR="00DA72E4">
        <w:rPr>
          <w:rFonts w:ascii="Arial" w:hAnsi="Arial" w:cs="Arial"/>
        </w:rPr>
        <w:t>force.</w:t>
      </w:r>
      <w:r w:rsidRPr="007B363B" w:rsidR="00DA72E4">
        <w:rPr>
          <w:rStyle w:val="CommentReference"/>
          <w:rFonts w:ascii="Arial" w:hAnsi="Arial" w:cs="Arial"/>
          <w:sz w:val="24"/>
          <w:szCs w:val="24"/>
        </w:rPr>
        <w:t xml:space="preserve"> This maximum is currently not being met by any of the</w:t>
      </w:r>
      <w:r w:rsidRPr="007B363B" w:rsidR="00922168">
        <w:rPr>
          <w:rStyle w:val="CommentReference"/>
          <w:rFonts w:ascii="Arial" w:hAnsi="Arial" w:cs="Arial"/>
          <w:sz w:val="24"/>
          <w:szCs w:val="24"/>
        </w:rPr>
        <w:t xml:space="preserve"> </w:t>
      </w:r>
      <w:r w:rsidRPr="007B363B" w:rsidR="00DA72E4">
        <w:rPr>
          <w:rStyle w:val="CommentReference"/>
          <w:rFonts w:ascii="Arial" w:hAnsi="Arial" w:cs="Arial"/>
          <w:sz w:val="24"/>
          <w:szCs w:val="24"/>
        </w:rPr>
        <w:t>post-holders</w:t>
      </w:r>
      <w:r w:rsidRPr="007B363B" w:rsidR="00922168">
        <w:rPr>
          <w:rStyle w:val="CommentReference"/>
          <w:rFonts w:ascii="Arial" w:hAnsi="Arial" w:cs="Arial"/>
          <w:sz w:val="24"/>
          <w:szCs w:val="24"/>
        </w:rPr>
        <w:t xml:space="preserve"> on </w:t>
      </w:r>
      <w:r>
        <w:rPr>
          <w:rStyle w:val="CommentReference"/>
          <w:rFonts w:ascii="Arial" w:hAnsi="Arial" w:cs="Arial"/>
          <w:sz w:val="24"/>
          <w:szCs w:val="24"/>
        </w:rPr>
        <w:t>the Head of Service Grade</w:t>
      </w:r>
      <w:r w:rsidRPr="007B363B" w:rsidR="00220763">
        <w:rPr>
          <w:rStyle w:val="CommentReference"/>
          <w:rFonts w:ascii="Arial" w:hAnsi="Arial" w:cs="Arial"/>
          <w:color w:val="FF0000"/>
          <w:sz w:val="24"/>
          <w:szCs w:val="24"/>
        </w:rPr>
        <w:t xml:space="preserve">. </w:t>
      </w:r>
      <w:r w:rsidRPr="007B363B" w:rsidR="00BF3D14">
        <w:rPr>
          <w:rStyle w:val="CommentReference"/>
          <w:rFonts w:ascii="Arial" w:hAnsi="Arial" w:cs="Arial"/>
          <w:sz w:val="24"/>
          <w:szCs w:val="24"/>
        </w:rPr>
        <w:t>T</w:t>
      </w:r>
      <w:r w:rsidRPr="007B363B" w:rsidR="00220763">
        <w:rPr>
          <w:rStyle w:val="CommentReference"/>
          <w:rFonts w:ascii="Arial" w:hAnsi="Arial" w:cs="Arial"/>
          <w:sz w:val="24"/>
          <w:szCs w:val="24"/>
        </w:rPr>
        <w:t xml:space="preserve">he multiple for the Head of Service </w:t>
      </w:r>
      <w:proofErr w:type="gramStart"/>
      <w:r w:rsidRPr="007B363B" w:rsidR="00220763">
        <w:rPr>
          <w:rStyle w:val="CommentReference"/>
          <w:rFonts w:ascii="Arial" w:hAnsi="Arial" w:cs="Arial"/>
          <w:sz w:val="24"/>
          <w:szCs w:val="24"/>
        </w:rPr>
        <w:t>Plus</w:t>
      </w:r>
      <w:proofErr w:type="gramEnd"/>
      <w:r w:rsidRPr="007B363B" w:rsidR="00220763">
        <w:rPr>
          <w:rStyle w:val="CommentReference"/>
          <w:rFonts w:ascii="Arial" w:hAnsi="Arial" w:cs="Arial"/>
          <w:sz w:val="24"/>
          <w:szCs w:val="24"/>
        </w:rPr>
        <w:t xml:space="preserve"> Grade</w:t>
      </w:r>
      <w:r w:rsidRPr="007B363B" w:rsidR="00BF3D14">
        <w:rPr>
          <w:rStyle w:val="CommentReference"/>
          <w:rFonts w:ascii="Arial" w:hAnsi="Arial" w:cs="Arial"/>
          <w:sz w:val="24"/>
          <w:szCs w:val="24"/>
        </w:rPr>
        <w:t xml:space="preserve"> is</w:t>
      </w:r>
      <w:r w:rsidRPr="007B363B" w:rsidR="00220763">
        <w:rPr>
          <w:rStyle w:val="CommentReference"/>
          <w:rFonts w:ascii="Arial" w:hAnsi="Arial" w:cs="Arial"/>
          <w:sz w:val="24"/>
          <w:szCs w:val="24"/>
        </w:rPr>
        <w:t xml:space="preserve"> 3.5</w:t>
      </w:r>
      <w:r w:rsidRPr="007B363B" w:rsidR="00220763">
        <w:rPr>
          <w:rFonts w:ascii="Arial" w:hAnsi="Arial" w:cs="Arial"/>
        </w:rPr>
        <w:t xml:space="preserve"> x the average FTE salary of all employees in the workforce </w:t>
      </w:r>
      <w:r w:rsidRPr="007B363B" w:rsidR="00BF3D14">
        <w:rPr>
          <w:rFonts w:ascii="Arial" w:hAnsi="Arial" w:cs="Arial"/>
        </w:rPr>
        <w:t>and</w:t>
      </w:r>
      <w:r w:rsidRPr="007B363B" w:rsidR="00220763">
        <w:rPr>
          <w:rFonts w:ascii="Arial" w:hAnsi="Arial" w:cs="Arial"/>
        </w:rPr>
        <w:t xml:space="preserve"> reflect</w:t>
      </w:r>
      <w:r w:rsidRPr="007B363B" w:rsidR="00BF3D14">
        <w:rPr>
          <w:rFonts w:ascii="Arial" w:hAnsi="Arial" w:cs="Arial"/>
        </w:rPr>
        <w:t>s</w:t>
      </w:r>
      <w:r w:rsidRPr="007B363B" w:rsidR="00220763">
        <w:rPr>
          <w:rFonts w:ascii="Arial" w:hAnsi="Arial" w:cs="Arial"/>
        </w:rPr>
        <w:t xml:space="preserve"> the distinction from the Head of Service Grade</w:t>
      </w:r>
      <w:r w:rsidRPr="007B363B" w:rsidR="00DA72E4">
        <w:rPr>
          <w:rStyle w:val="CommentReference"/>
          <w:rFonts w:ascii="Arial" w:hAnsi="Arial" w:cs="Arial"/>
          <w:color w:val="FF0000"/>
          <w:sz w:val="24"/>
          <w:szCs w:val="24"/>
        </w:rPr>
        <w:t>.</w:t>
      </w:r>
      <w:r>
        <w:rPr>
          <w:rStyle w:val="CommentReference"/>
          <w:rFonts w:ascii="Arial" w:hAnsi="Arial" w:cs="Arial"/>
          <w:color w:val="FF0000"/>
          <w:sz w:val="24"/>
          <w:szCs w:val="24"/>
        </w:rPr>
        <w:t xml:space="preserve">  </w:t>
      </w:r>
      <w:r w:rsidRPr="007B363B">
        <w:rPr>
          <w:rStyle w:val="CommentReference"/>
          <w:rFonts w:ascii="Arial" w:hAnsi="Arial" w:cs="Arial"/>
          <w:sz w:val="24"/>
          <w:szCs w:val="24"/>
        </w:rPr>
        <w:t xml:space="preserve">This maximum is currently not being met by any of the post-holders on </w:t>
      </w:r>
      <w:r>
        <w:rPr>
          <w:rStyle w:val="CommentReference"/>
          <w:rFonts w:ascii="Arial" w:hAnsi="Arial" w:cs="Arial"/>
          <w:sz w:val="24"/>
          <w:szCs w:val="24"/>
        </w:rPr>
        <w:t xml:space="preserve">the Head of Service </w:t>
      </w:r>
      <w:proofErr w:type="gramStart"/>
      <w:r>
        <w:rPr>
          <w:rStyle w:val="CommentReference"/>
          <w:rFonts w:ascii="Arial" w:hAnsi="Arial" w:cs="Arial"/>
          <w:sz w:val="24"/>
          <w:szCs w:val="24"/>
        </w:rPr>
        <w:t>Plus</w:t>
      </w:r>
      <w:proofErr w:type="gramEnd"/>
      <w:r>
        <w:rPr>
          <w:rStyle w:val="CommentReference"/>
          <w:rFonts w:ascii="Arial" w:hAnsi="Arial" w:cs="Arial"/>
          <w:sz w:val="24"/>
          <w:szCs w:val="24"/>
        </w:rPr>
        <w:t xml:space="preserve"> Grade.</w:t>
      </w:r>
    </w:p>
    <w:p w:rsidRPr="000B6A75" w:rsidR="00B41C17" w:rsidP="000B6A75" w:rsidRDefault="00B41C17" w14:paraId="5F35FE30" w14:textId="4FEB3B75">
      <w:pPr>
        <w:rPr>
          <w:rFonts w:ascii="Arial" w:hAnsi="Arial" w:cs="Arial"/>
        </w:rPr>
      </w:pPr>
      <w:r>
        <w:rPr>
          <w:rStyle w:val="CommentReference"/>
          <w:rFonts w:ascii="Arial" w:hAnsi="Arial" w:cs="Arial"/>
          <w:sz w:val="24"/>
          <w:szCs w:val="24"/>
        </w:rPr>
        <w:br w:type="page"/>
      </w:r>
    </w:p>
    <w:p w:rsidR="00D44088" w:rsidP="00270495" w:rsidRDefault="00D44088" w14:paraId="5A3C66F6" w14:textId="003D4C12">
      <w:pPr>
        <w:jc w:val="both"/>
        <w:rPr>
          <w:rFonts w:ascii="Arial" w:hAnsi="Arial" w:cs="Arial"/>
          <w:color w:val="000000" w:themeColor="text1"/>
        </w:rPr>
      </w:pPr>
    </w:p>
    <w:p w:rsidRPr="007A69FA" w:rsidR="000B6A75" w:rsidP="00270495" w:rsidRDefault="000B6A75" w14:paraId="4A9BEFF5" w14:textId="77777777">
      <w:pPr>
        <w:jc w:val="both"/>
        <w:rPr>
          <w:rFonts w:ascii="Arial" w:hAnsi="Arial" w:cs="Arial"/>
          <w:color w:val="000000" w:themeColor="text1"/>
        </w:rPr>
      </w:pPr>
    </w:p>
    <w:p w:rsidRPr="007A69FA" w:rsidR="00DD46FD" w:rsidP="001D5E8D" w:rsidRDefault="00D04098" w14:paraId="4C12E428" w14:textId="19931BE4">
      <w:pPr>
        <w:numPr>
          <w:ilvl w:val="0"/>
          <w:numId w:val="6"/>
        </w:numPr>
        <w:tabs>
          <w:tab w:val="clear" w:pos="1425"/>
        </w:tabs>
        <w:ind w:left="1134" w:hanging="1134"/>
        <w:jc w:val="both"/>
        <w:rPr>
          <w:rFonts w:ascii="Arial" w:hAnsi="Arial" w:cs="Arial"/>
          <w:b/>
          <w:color w:val="000000" w:themeColor="text1"/>
          <w:u w:val="single"/>
        </w:rPr>
      </w:pPr>
      <w:r>
        <w:rPr>
          <w:rFonts w:ascii="Arial" w:hAnsi="Arial" w:cs="Arial"/>
          <w:b/>
          <w:color w:val="000000" w:themeColor="text1"/>
          <w:u w:val="single"/>
        </w:rPr>
        <w:t xml:space="preserve">The </w:t>
      </w:r>
      <w:r w:rsidRPr="007A69FA" w:rsidR="00BB40FD">
        <w:rPr>
          <w:rFonts w:ascii="Arial" w:hAnsi="Arial" w:cs="Arial"/>
          <w:b/>
          <w:color w:val="000000" w:themeColor="text1"/>
          <w:u w:val="single"/>
        </w:rPr>
        <w:t>Remuneration of other staff in the Council</w:t>
      </w:r>
    </w:p>
    <w:p w:rsidRPr="007A69FA" w:rsidR="00DD46FD" w:rsidP="009707AF" w:rsidRDefault="00DD46FD" w14:paraId="0BC7A974" w14:textId="77777777">
      <w:pPr>
        <w:tabs>
          <w:tab w:val="left" w:pos="1065"/>
        </w:tabs>
        <w:ind w:left="360"/>
        <w:jc w:val="both"/>
        <w:rPr>
          <w:rFonts w:ascii="Arial" w:hAnsi="Arial" w:cs="Arial"/>
          <w:color w:val="000000" w:themeColor="text1"/>
        </w:rPr>
      </w:pPr>
    </w:p>
    <w:p w:rsidRPr="007A69FA" w:rsidR="00972A6E" w:rsidP="001D5E8D" w:rsidRDefault="00DD46FD" w14:paraId="05BC6F3B" w14:textId="77777777">
      <w:pPr>
        <w:numPr>
          <w:ilvl w:val="1"/>
          <w:numId w:val="6"/>
        </w:numPr>
        <w:tabs>
          <w:tab w:val="clear" w:pos="1425"/>
        </w:tabs>
        <w:ind w:left="1134" w:hanging="1134"/>
        <w:jc w:val="both"/>
        <w:rPr>
          <w:rFonts w:ascii="Arial" w:hAnsi="Arial" w:cs="Arial"/>
          <w:b/>
          <w:color w:val="000000" w:themeColor="text1"/>
        </w:rPr>
      </w:pPr>
      <w:r w:rsidRPr="007A69FA">
        <w:rPr>
          <w:rFonts w:ascii="Arial" w:hAnsi="Arial" w:cs="Arial"/>
          <w:b/>
          <w:color w:val="000000" w:themeColor="text1"/>
        </w:rPr>
        <w:t>Pay and Benefits Policies</w:t>
      </w:r>
    </w:p>
    <w:p w:rsidRPr="007A69FA" w:rsidR="00972A6E" w:rsidP="009707AF" w:rsidRDefault="00972A6E" w14:paraId="2903E4BB" w14:textId="77777777">
      <w:pPr>
        <w:ind w:left="851"/>
        <w:jc w:val="both"/>
        <w:rPr>
          <w:rFonts w:ascii="Arial" w:hAnsi="Arial" w:cs="Arial"/>
          <w:b/>
          <w:color w:val="000000" w:themeColor="text1"/>
        </w:rPr>
      </w:pPr>
    </w:p>
    <w:p w:rsidRPr="007A69FA" w:rsidR="00DD46FD" w:rsidP="001D5E8D" w:rsidRDefault="001D5E8D" w14:paraId="156A998D" w14:textId="77777777">
      <w:pPr>
        <w:ind w:left="1162" w:hanging="311"/>
        <w:jc w:val="both"/>
        <w:rPr>
          <w:rFonts w:ascii="Arial" w:hAnsi="Arial" w:cs="Arial"/>
          <w:b/>
          <w:color w:val="000000" w:themeColor="text1"/>
        </w:rPr>
      </w:pPr>
      <w:r w:rsidRPr="007A69FA">
        <w:rPr>
          <w:rFonts w:ascii="Arial" w:hAnsi="Arial" w:cs="Arial"/>
          <w:color w:val="000000" w:themeColor="text1"/>
        </w:rPr>
        <w:tab/>
      </w:r>
      <w:r w:rsidRPr="007A69FA" w:rsidR="00DD46FD">
        <w:rPr>
          <w:rFonts w:ascii="Arial" w:hAnsi="Arial" w:cs="Arial"/>
          <w:color w:val="000000" w:themeColor="text1"/>
        </w:rPr>
        <w:t>A range of pay policies govern the remuneration of staff in posts other than those set out in paragraphs 2.1 to 4.</w:t>
      </w:r>
      <w:r w:rsidRPr="007A69FA" w:rsidR="00711FA6">
        <w:rPr>
          <w:rFonts w:ascii="Arial" w:hAnsi="Arial" w:cs="Arial"/>
          <w:color w:val="000000" w:themeColor="text1"/>
        </w:rPr>
        <w:t>5</w:t>
      </w:r>
      <w:r w:rsidRPr="007A69FA" w:rsidR="00DD46FD">
        <w:rPr>
          <w:rFonts w:ascii="Arial" w:hAnsi="Arial" w:cs="Arial"/>
          <w:color w:val="000000" w:themeColor="text1"/>
        </w:rPr>
        <w:t xml:space="preserve"> above. Some of these apply to all such posts. For example, the Grading Review Procedure applies to all such posts. Others apply only to specific posts. For example, the Standby Scheme only applies to posts involving standby duties. For ease of reference, all those policies applying to all staff on </w:t>
      </w:r>
      <w:proofErr w:type="spellStart"/>
      <w:r w:rsidRPr="007A69FA" w:rsidR="00DD46FD">
        <w:rPr>
          <w:rFonts w:ascii="Arial" w:hAnsi="Arial" w:cs="Arial"/>
          <w:color w:val="000000" w:themeColor="text1"/>
        </w:rPr>
        <w:t>Inbucon</w:t>
      </w:r>
      <w:proofErr w:type="spellEnd"/>
      <w:r w:rsidRPr="007A69FA" w:rsidR="00DD46FD">
        <w:rPr>
          <w:rFonts w:ascii="Arial" w:hAnsi="Arial" w:cs="Arial"/>
          <w:color w:val="000000" w:themeColor="text1"/>
        </w:rPr>
        <w:t xml:space="preserve"> grades are listed first and those that apply only to specific posts or for which there are specific eligibility criteria are</w:t>
      </w:r>
      <w:r w:rsidRPr="007A69FA" w:rsidR="00C855FF">
        <w:rPr>
          <w:rFonts w:ascii="Arial" w:hAnsi="Arial" w:cs="Arial"/>
          <w:color w:val="000000" w:themeColor="text1"/>
        </w:rPr>
        <w:t xml:space="preserve"> </w:t>
      </w:r>
      <w:r w:rsidRPr="007A69FA" w:rsidR="00DD46FD">
        <w:rPr>
          <w:rFonts w:ascii="Arial" w:hAnsi="Arial" w:cs="Arial"/>
          <w:color w:val="000000" w:themeColor="text1"/>
        </w:rPr>
        <w:t xml:space="preserve">listed separately. These policies are available on the Council’s </w:t>
      </w:r>
      <w:r w:rsidR="009A557F">
        <w:rPr>
          <w:rFonts w:ascii="Arial" w:hAnsi="Arial" w:cs="Arial"/>
          <w:color w:val="000000" w:themeColor="text1"/>
        </w:rPr>
        <w:t>intranet</w:t>
      </w:r>
      <w:r w:rsidRPr="007A69FA" w:rsidR="00DD46FD">
        <w:rPr>
          <w:rFonts w:ascii="Arial" w:hAnsi="Arial" w:cs="Arial"/>
          <w:color w:val="000000" w:themeColor="text1"/>
        </w:rPr>
        <w:t xml:space="preserve">. </w:t>
      </w:r>
    </w:p>
    <w:p w:rsidRPr="007A69FA" w:rsidR="00DD46FD" w:rsidP="009707AF" w:rsidRDefault="00DD46FD" w14:paraId="359171DE" w14:textId="77777777">
      <w:pPr>
        <w:pStyle w:val="ListParagraph"/>
        <w:ind w:left="851" w:hanging="851"/>
        <w:jc w:val="both"/>
        <w:rPr>
          <w:rFonts w:ascii="Arial" w:hAnsi="Arial" w:cs="Arial"/>
          <w:color w:val="000000" w:themeColor="text1"/>
          <w:sz w:val="24"/>
          <w:szCs w:val="24"/>
        </w:rPr>
      </w:pPr>
    </w:p>
    <w:p w:rsidRPr="007A69FA" w:rsidR="00DD46FD" w:rsidP="00516D64" w:rsidRDefault="000A3D50" w14:paraId="27CA1B9B" w14:textId="77777777">
      <w:pPr>
        <w:pStyle w:val="ListParagraph"/>
        <w:ind w:left="1134" w:hanging="1276"/>
        <w:jc w:val="both"/>
        <w:rPr>
          <w:rFonts w:ascii="Arial" w:hAnsi="Arial" w:cs="Arial"/>
          <w:b/>
          <w:color w:val="000000" w:themeColor="text1"/>
          <w:sz w:val="24"/>
          <w:szCs w:val="24"/>
        </w:rPr>
      </w:pPr>
      <w:r w:rsidRPr="007A69FA">
        <w:rPr>
          <w:rFonts w:ascii="Arial" w:hAnsi="Arial" w:cs="Arial"/>
          <w:b/>
          <w:color w:val="000000" w:themeColor="text1"/>
          <w:sz w:val="24"/>
          <w:szCs w:val="24"/>
        </w:rPr>
        <w:tab/>
      </w:r>
      <w:r w:rsidRPr="007A69FA" w:rsidR="00DD46FD">
        <w:rPr>
          <w:rFonts w:ascii="Arial" w:hAnsi="Arial" w:cs="Arial"/>
          <w:b/>
          <w:color w:val="000000" w:themeColor="text1"/>
          <w:sz w:val="24"/>
          <w:szCs w:val="24"/>
        </w:rPr>
        <w:t xml:space="preserve">Policies applying to all staff on </w:t>
      </w:r>
      <w:proofErr w:type="spellStart"/>
      <w:r w:rsidRPr="007A69FA" w:rsidR="00DD46FD">
        <w:rPr>
          <w:rFonts w:ascii="Arial" w:hAnsi="Arial" w:cs="Arial"/>
          <w:b/>
          <w:color w:val="000000" w:themeColor="text1"/>
          <w:sz w:val="24"/>
          <w:szCs w:val="24"/>
        </w:rPr>
        <w:t>Inbucon</w:t>
      </w:r>
      <w:proofErr w:type="spellEnd"/>
      <w:r w:rsidRPr="007A69FA" w:rsidR="00DD46FD">
        <w:rPr>
          <w:rFonts w:ascii="Arial" w:hAnsi="Arial" w:cs="Arial"/>
          <w:b/>
          <w:color w:val="000000" w:themeColor="text1"/>
          <w:sz w:val="24"/>
          <w:szCs w:val="24"/>
        </w:rPr>
        <w:t xml:space="preserve"> grades:</w:t>
      </w:r>
    </w:p>
    <w:p w:rsidRPr="007A69FA" w:rsidR="00DD46FD" w:rsidP="009707AF" w:rsidRDefault="00DD46FD" w14:paraId="0F91C781" w14:textId="77777777">
      <w:pPr>
        <w:pStyle w:val="ListParagraph"/>
        <w:ind w:left="851" w:hanging="851"/>
        <w:jc w:val="both"/>
        <w:rPr>
          <w:rFonts w:ascii="Arial" w:hAnsi="Arial" w:cs="Arial"/>
          <w:color w:val="000000" w:themeColor="text1"/>
          <w:sz w:val="24"/>
          <w:szCs w:val="24"/>
        </w:rPr>
      </w:pPr>
    </w:p>
    <w:p w:rsidRPr="007A69FA" w:rsidR="00DD46FD" w:rsidP="00516D64" w:rsidRDefault="00DD46FD" w14:paraId="669F4A32" w14:textId="77777777">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Grading Review Procedure</w:t>
      </w:r>
    </w:p>
    <w:p w:rsidRPr="007A69FA" w:rsidR="00DD46FD" w:rsidP="00516D64" w:rsidRDefault="00DD46FD" w14:paraId="07EE520F" w14:textId="77777777">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 xml:space="preserve">Competency Based Pay Progression Policy </w:t>
      </w:r>
    </w:p>
    <w:p w:rsidRPr="007A69FA" w:rsidR="00DD46FD" w:rsidP="00516D64" w:rsidRDefault="00DD46FD" w14:paraId="5CCEC085" w14:textId="77777777">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Individual Salary Review Scheme</w:t>
      </w:r>
    </w:p>
    <w:p w:rsidRPr="007A69FA" w:rsidR="00DD46FD" w:rsidP="00516D64" w:rsidRDefault="00DD46FD" w14:paraId="02BC9B91" w14:textId="77777777">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Acting up Policy and Procedure</w:t>
      </w:r>
    </w:p>
    <w:p w:rsidRPr="007A69FA" w:rsidR="00C24CF1" w:rsidP="009707AF" w:rsidRDefault="00C24CF1" w14:paraId="18A8B6B6" w14:textId="77777777">
      <w:pPr>
        <w:pStyle w:val="ListParagraph"/>
        <w:ind w:left="1418" w:hanging="567"/>
        <w:jc w:val="both"/>
        <w:rPr>
          <w:rFonts w:ascii="Arial" w:hAnsi="Arial" w:cs="Arial"/>
          <w:b/>
          <w:color w:val="000000" w:themeColor="text1"/>
          <w:sz w:val="24"/>
          <w:szCs w:val="24"/>
        </w:rPr>
      </w:pPr>
    </w:p>
    <w:p w:rsidRPr="007A69FA" w:rsidR="00DD46FD" w:rsidP="00516D64" w:rsidRDefault="00DD46FD" w14:paraId="1B761DF7" w14:textId="77777777">
      <w:pPr>
        <w:pStyle w:val="ListParagraph"/>
        <w:ind w:left="1418" w:hanging="284"/>
        <w:jc w:val="both"/>
        <w:rPr>
          <w:rFonts w:ascii="Arial" w:hAnsi="Arial" w:cs="Arial"/>
          <w:b/>
          <w:color w:val="000000" w:themeColor="text1"/>
          <w:sz w:val="24"/>
          <w:szCs w:val="24"/>
        </w:rPr>
      </w:pPr>
      <w:r w:rsidRPr="007A69FA">
        <w:rPr>
          <w:rFonts w:ascii="Arial" w:hAnsi="Arial" w:cs="Arial"/>
          <w:b/>
          <w:color w:val="000000" w:themeColor="text1"/>
          <w:sz w:val="24"/>
          <w:szCs w:val="24"/>
        </w:rPr>
        <w:t xml:space="preserve">Policies applying to specific posts on </w:t>
      </w:r>
      <w:proofErr w:type="spellStart"/>
      <w:r w:rsidRPr="007A69FA">
        <w:rPr>
          <w:rFonts w:ascii="Arial" w:hAnsi="Arial" w:cs="Arial"/>
          <w:b/>
          <w:color w:val="000000" w:themeColor="text1"/>
          <w:sz w:val="24"/>
          <w:szCs w:val="24"/>
        </w:rPr>
        <w:t>Inbucon</w:t>
      </w:r>
      <w:proofErr w:type="spellEnd"/>
      <w:r w:rsidRPr="007A69FA">
        <w:rPr>
          <w:rFonts w:ascii="Arial" w:hAnsi="Arial" w:cs="Arial"/>
          <w:b/>
          <w:color w:val="000000" w:themeColor="text1"/>
          <w:sz w:val="24"/>
          <w:szCs w:val="24"/>
        </w:rPr>
        <w:t xml:space="preserve"> grades:</w:t>
      </w:r>
    </w:p>
    <w:p w:rsidRPr="007A69FA" w:rsidR="000A3D50" w:rsidP="009707AF" w:rsidRDefault="000A3D50" w14:paraId="1D685FE7" w14:textId="77777777">
      <w:pPr>
        <w:pStyle w:val="ListParagraph"/>
        <w:ind w:left="1418" w:hanging="567"/>
        <w:jc w:val="both"/>
        <w:rPr>
          <w:rFonts w:ascii="Arial" w:hAnsi="Arial" w:cs="Arial"/>
          <w:b/>
          <w:color w:val="000000" w:themeColor="text1"/>
          <w:sz w:val="24"/>
          <w:szCs w:val="24"/>
        </w:rPr>
      </w:pPr>
    </w:p>
    <w:p w:rsidRPr="007A69FA" w:rsidR="00FC1FEF" w:rsidP="00516D64" w:rsidRDefault="00FC1FEF" w14:paraId="4833EC39"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 xml:space="preserve">Car Allowances </w:t>
      </w:r>
      <w:r w:rsidRPr="007A69FA" w:rsidR="009F7EDC">
        <w:rPr>
          <w:rFonts w:ascii="Arial" w:hAnsi="Arial" w:cs="Arial"/>
          <w:color w:val="000000" w:themeColor="text1"/>
          <w:sz w:val="24"/>
          <w:szCs w:val="24"/>
        </w:rPr>
        <w:t xml:space="preserve">(information </w:t>
      </w:r>
      <w:r w:rsidRPr="007A69FA">
        <w:rPr>
          <w:rFonts w:ascii="Arial" w:hAnsi="Arial" w:cs="Arial"/>
          <w:color w:val="000000" w:themeColor="text1"/>
          <w:sz w:val="24"/>
          <w:szCs w:val="24"/>
        </w:rPr>
        <w:t>in Contracts of Employment)</w:t>
      </w:r>
    </w:p>
    <w:p w:rsidRPr="007A69FA" w:rsidR="000A3D50" w:rsidP="00516D64" w:rsidRDefault="000A3D50" w14:paraId="0AFA0F3E"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Car Loan Policy</w:t>
      </w:r>
    </w:p>
    <w:p w:rsidRPr="007A69FA" w:rsidR="000A3D50" w:rsidP="00516D64" w:rsidRDefault="000A3D50" w14:paraId="36276A68"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Career Grade Scheme</w:t>
      </w:r>
    </w:p>
    <w:p w:rsidRPr="007A69FA" w:rsidR="000A3D50" w:rsidP="00516D64" w:rsidRDefault="000A3D50" w14:paraId="2129EA0E"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Mileage Rates</w:t>
      </w:r>
      <w:r w:rsidRPr="007A69FA" w:rsidR="009F7EDC">
        <w:rPr>
          <w:rFonts w:ascii="Arial" w:hAnsi="Arial" w:cs="Arial"/>
          <w:color w:val="000000" w:themeColor="text1"/>
          <w:sz w:val="24"/>
          <w:szCs w:val="24"/>
        </w:rPr>
        <w:t xml:space="preserve"> (Information </w:t>
      </w:r>
      <w:r w:rsidRPr="007A69FA" w:rsidR="00053F7D">
        <w:rPr>
          <w:rFonts w:ascii="Arial" w:hAnsi="Arial" w:cs="Arial"/>
          <w:color w:val="000000" w:themeColor="text1"/>
          <w:sz w:val="24"/>
          <w:szCs w:val="24"/>
        </w:rPr>
        <w:t>in Contracts of Employment)</w:t>
      </w:r>
    </w:p>
    <w:p w:rsidRPr="007A69FA" w:rsidR="000A3D50" w:rsidP="00516D64" w:rsidRDefault="000A3D50" w14:paraId="6004DF7E"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Overtime Policy</w:t>
      </w:r>
    </w:p>
    <w:p w:rsidRPr="007A69FA" w:rsidR="000A3D50" w:rsidP="00516D64" w:rsidRDefault="000A3D50" w14:paraId="35FEDEC2"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Standby</w:t>
      </w:r>
      <w:r w:rsidRPr="007A69FA" w:rsidR="00053F7D">
        <w:rPr>
          <w:rFonts w:ascii="Arial" w:hAnsi="Arial" w:cs="Arial"/>
          <w:color w:val="000000" w:themeColor="text1"/>
          <w:sz w:val="24"/>
          <w:szCs w:val="24"/>
        </w:rPr>
        <w:t xml:space="preserve"> Policy</w:t>
      </w:r>
    </w:p>
    <w:p w:rsidRPr="007A69FA" w:rsidR="000A3D50" w:rsidP="00516D64" w:rsidRDefault="00226C78" w14:paraId="0DB4873B"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Allowance Claims/</w:t>
      </w:r>
      <w:r w:rsidRPr="007A69FA" w:rsidR="000A3D50">
        <w:rPr>
          <w:rFonts w:ascii="Arial" w:hAnsi="Arial" w:cs="Arial"/>
          <w:color w:val="000000" w:themeColor="text1"/>
          <w:sz w:val="24"/>
          <w:szCs w:val="24"/>
        </w:rPr>
        <w:t xml:space="preserve">Subsistence </w:t>
      </w:r>
      <w:r w:rsidRPr="007A69FA">
        <w:rPr>
          <w:rFonts w:ascii="Arial" w:hAnsi="Arial" w:cs="Arial"/>
          <w:color w:val="000000" w:themeColor="text1"/>
          <w:sz w:val="24"/>
          <w:szCs w:val="24"/>
        </w:rPr>
        <w:t>Policy</w:t>
      </w:r>
    </w:p>
    <w:p w:rsidRPr="00B30E8E" w:rsidR="00601B18" w:rsidP="00601B18" w:rsidRDefault="000A3D50" w14:paraId="61B4923C" w14:textId="5BC69790">
      <w:pPr>
        <w:pStyle w:val="ListParagraph"/>
        <w:numPr>
          <w:ilvl w:val="0"/>
          <w:numId w:val="27"/>
        </w:numPr>
        <w:rPr>
          <w:rFonts w:ascii="Arial" w:hAnsi="Arial" w:cs="Arial"/>
          <w:color w:val="000000" w:themeColor="text1"/>
          <w:u w:val="single"/>
        </w:rPr>
      </w:pPr>
      <w:r w:rsidRPr="007A69FA">
        <w:rPr>
          <w:rFonts w:ascii="Arial" w:hAnsi="Arial" w:cs="Arial"/>
          <w:color w:val="000000" w:themeColor="text1"/>
          <w:sz w:val="24"/>
          <w:szCs w:val="24"/>
        </w:rPr>
        <w:t xml:space="preserve">Telephone </w:t>
      </w:r>
      <w:r w:rsidRPr="007A69FA" w:rsidR="00226C78">
        <w:rPr>
          <w:rFonts w:ascii="Arial" w:hAnsi="Arial" w:cs="Arial"/>
          <w:color w:val="000000" w:themeColor="text1"/>
          <w:sz w:val="24"/>
          <w:szCs w:val="24"/>
        </w:rPr>
        <w:t xml:space="preserve">Line </w:t>
      </w:r>
      <w:r w:rsidRPr="007A69FA">
        <w:rPr>
          <w:rFonts w:ascii="Arial" w:hAnsi="Arial" w:cs="Arial"/>
          <w:color w:val="000000" w:themeColor="text1"/>
          <w:sz w:val="24"/>
          <w:szCs w:val="24"/>
        </w:rPr>
        <w:t xml:space="preserve">Rental </w:t>
      </w:r>
      <w:r w:rsidRPr="007A69FA" w:rsidR="00226C78">
        <w:rPr>
          <w:rFonts w:ascii="Arial" w:hAnsi="Arial" w:cs="Arial"/>
          <w:color w:val="000000" w:themeColor="text1"/>
          <w:sz w:val="24"/>
          <w:szCs w:val="24"/>
        </w:rPr>
        <w:t>Guidance</w:t>
      </w:r>
    </w:p>
    <w:p w:rsidRPr="00B41C17" w:rsidR="00D44088" w:rsidP="00601B18" w:rsidRDefault="002030C3" w14:paraId="2303AEF0" w14:textId="69147837">
      <w:pPr>
        <w:pStyle w:val="ListParagraph"/>
        <w:numPr>
          <w:ilvl w:val="0"/>
          <w:numId w:val="27"/>
        </w:numPr>
        <w:rPr>
          <w:rFonts w:ascii="Arial" w:hAnsi="Arial" w:cs="Arial"/>
          <w:color w:val="000000" w:themeColor="text1"/>
          <w:u w:val="single"/>
        </w:rPr>
      </w:pPr>
      <w:r>
        <w:rPr>
          <w:rFonts w:ascii="Arial" w:hAnsi="Arial" w:cs="Arial"/>
          <w:color w:val="000000" w:themeColor="text1"/>
          <w:sz w:val="24"/>
          <w:szCs w:val="24"/>
        </w:rPr>
        <w:t>Retention Payment Policy</w:t>
      </w:r>
    </w:p>
    <w:p w:rsidR="00B41C17" w:rsidRDefault="00B41C17" w14:paraId="5154C459" w14:textId="44C19F52">
      <w:pPr>
        <w:rPr>
          <w:rFonts w:ascii="Arial" w:hAnsi="Arial" w:eastAsia="Calibri" w:cs="Arial"/>
          <w:color w:val="000000" w:themeColor="text1"/>
        </w:rPr>
      </w:pPr>
      <w:r>
        <w:rPr>
          <w:rFonts w:ascii="Arial" w:hAnsi="Arial" w:cs="Arial"/>
          <w:color w:val="000000" w:themeColor="text1"/>
        </w:rPr>
        <w:br w:type="page"/>
      </w:r>
    </w:p>
    <w:p w:rsidRPr="00C324BF" w:rsidR="00B41C17" w:rsidP="00B41C17" w:rsidRDefault="00B41C17" w14:paraId="5309F876" w14:textId="77777777">
      <w:pPr>
        <w:pStyle w:val="ListParagraph"/>
        <w:ind w:left="1571"/>
        <w:rPr>
          <w:rFonts w:ascii="Arial" w:hAnsi="Arial" w:cs="Arial"/>
          <w:color w:val="000000" w:themeColor="text1"/>
          <w:u w:val="single"/>
        </w:rPr>
      </w:pPr>
    </w:p>
    <w:p w:rsidRPr="007A69FA" w:rsidR="00BC31E0" w:rsidP="00CB7178" w:rsidRDefault="000A3D50" w14:paraId="29A8012D" w14:textId="0AB9AC85">
      <w:pPr>
        <w:numPr>
          <w:ilvl w:val="1"/>
          <w:numId w:val="6"/>
        </w:numPr>
        <w:tabs>
          <w:tab w:val="clear" w:pos="1425"/>
        </w:tabs>
        <w:ind w:left="851" w:hanging="851"/>
        <w:jc w:val="both"/>
        <w:rPr>
          <w:rFonts w:ascii="Arial" w:hAnsi="Arial" w:cs="Arial"/>
          <w:b/>
          <w:color w:val="000000" w:themeColor="text1"/>
        </w:rPr>
      </w:pPr>
      <w:r w:rsidRPr="007A69FA">
        <w:rPr>
          <w:rFonts w:ascii="Arial" w:hAnsi="Arial" w:cs="Arial"/>
          <w:b/>
          <w:color w:val="000000" w:themeColor="text1"/>
        </w:rPr>
        <w:t>P</w:t>
      </w:r>
      <w:r w:rsidRPr="007A69FA" w:rsidR="00DD46FD">
        <w:rPr>
          <w:rFonts w:ascii="Arial" w:hAnsi="Arial" w:cs="Arial"/>
          <w:b/>
          <w:color w:val="000000" w:themeColor="text1"/>
        </w:rPr>
        <w:t xml:space="preserve">ay Scales: </w:t>
      </w:r>
      <w:r w:rsidRPr="007A69FA" w:rsidR="00DD46FD">
        <w:rPr>
          <w:rFonts w:ascii="Arial" w:hAnsi="Arial" w:cs="Arial"/>
          <w:color w:val="000000" w:themeColor="text1"/>
        </w:rPr>
        <w:t>The pay scales applying to staff in all posts, other than those set out in paragraphs 2.1 to 4.</w:t>
      </w:r>
      <w:r w:rsidR="00783247">
        <w:rPr>
          <w:rFonts w:ascii="Arial" w:hAnsi="Arial" w:cs="Arial"/>
          <w:color w:val="000000" w:themeColor="text1"/>
        </w:rPr>
        <w:t>5</w:t>
      </w:r>
      <w:r w:rsidRPr="007A69FA" w:rsidR="00DD46FD">
        <w:rPr>
          <w:rFonts w:ascii="Arial" w:hAnsi="Arial" w:cs="Arial"/>
          <w:color w:val="000000" w:themeColor="text1"/>
        </w:rPr>
        <w:t xml:space="preserve"> above</w:t>
      </w:r>
      <w:r w:rsidR="003349A9">
        <w:rPr>
          <w:rFonts w:ascii="Arial" w:hAnsi="Arial" w:cs="Arial"/>
          <w:color w:val="000000" w:themeColor="text1"/>
        </w:rPr>
        <w:t xml:space="preserve"> and 5.3 below</w:t>
      </w:r>
      <w:r w:rsidRPr="007A69FA" w:rsidR="00DD46FD">
        <w:rPr>
          <w:rFonts w:ascii="Arial" w:hAnsi="Arial" w:cs="Arial"/>
          <w:color w:val="000000" w:themeColor="text1"/>
        </w:rPr>
        <w:t xml:space="preserve">, are set out in Table </w:t>
      </w:r>
      <w:r w:rsidRPr="007A69FA" w:rsidR="00ED0EB4">
        <w:rPr>
          <w:rFonts w:ascii="Arial" w:hAnsi="Arial" w:cs="Arial"/>
          <w:color w:val="000000" w:themeColor="text1"/>
        </w:rPr>
        <w:t>E</w:t>
      </w:r>
      <w:r w:rsidRPr="007A69FA" w:rsidR="00516D64">
        <w:rPr>
          <w:rFonts w:ascii="Arial" w:hAnsi="Arial" w:cs="Arial"/>
          <w:color w:val="000000" w:themeColor="text1"/>
        </w:rPr>
        <w:t xml:space="preserve"> below:</w:t>
      </w:r>
    </w:p>
    <w:p w:rsidR="00601B18" w:rsidRDefault="00270495" w14:paraId="2D41D738" w14:textId="77777777">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tbl>
      <w:tblPr>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1276"/>
        <w:gridCol w:w="1134"/>
        <w:gridCol w:w="1134"/>
        <w:gridCol w:w="283"/>
        <w:gridCol w:w="1418"/>
        <w:gridCol w:w="1134"/>
        <w:gridCol w:w="1275"/>
      </w:tblGrid>
      <w:tr w:rsidRPr="00865223" w:rsidR="006510DD" w:rsidTr="0022589D" w14:paraId="6F57346E" w14:textId="1748BFF4">
        <w:trPr>
          <w:trHeight w:val="300"/>
        </w:trPr>
        <w:tc>
          <w:tcPr>
            <w:tcW w:w="8221" w:type="dxa"/>
            <w:gridSpan w:val="8"/>
            <w:shd w:val="clear" w:color="auto" w:fill="auto"/>
            <w:vAlign w:val="bottom"/>
          </w:tcPr>
          <w:p w:rsidRPr="00865223" w:rsidR="006510DD" w:rsidP="006510DD" w:rsidRDefault="006510DD" w14:paraId="5CF8BB32" w14:textId="76C6DAA0">
            <w:pPr>
              <w:rPr>
                <w:rFonts w:ascii="Arial" w:hAnsi="Arial" w:cs="Arial"/>
                <w:b/>
                <w:color w:val="000000" w:themeColor="text1"/>
              </w:rPr>
            </w:pPr>
            <w:r w:rsidRPr="00865223">
              <w:rPr>
                <w:rFonts w:ascii="Arial" w:hAnsi="Arial" w:cs="Arial"/>
                <w:b/>
                <w:color w:val="000000" w:themeColor="text1"/>
              </w:rPr>
              <w:t>TABLE E – General Pay-scale</w:t>
            </w:r>
          </w:p>
        </w:tc>
      </w:tr>
      <w:tr w:rsidRPr="00865223" w:rsidR="00065BDD" w:rsidTr="0022589D" w14:paraId="7DCD3B7D" w14:textId="4D3258E9">
        <w:trPr>
          <w:trHeight w:val="300"/>
        </w:trPr>
        <w:tc>
          <w:tcPr>
            <w:tcW w:w="567" w:type="dxa"/>
          </w:tcPr>
          <w:p w:rsidRPr="00865223" w:rsidR="00065BDD" w:rsidP="006510DD" w:rsidRDefault="00065BDD" w14:paraId="58CE32DD" w14:textId="77777777">
            <w:pPr>
              <w:rPr>
                <w:rFonts w:ascii="Arial" w:hAnsi="Arial" w:cs="Arial"/>
                <w:b/>
                <w:bCs/>
                <w:color w:val="000000" w:themeColor="text1"/>
                <w:kern w:val="36"/>
                <w:lang w:eastAsia="en-GB"/>
              </w:rPr>
            </w:pPr>
          </w:p>
        </w:tc>
        <w:tc>
          <w:tcPr>
            <w:tcW w:w="3544" w:type="dxa"/>
            <w:gridSpan w:val="3"/>
          </w:tcPr>
          <w:p w:rsidRPr="00865223" w:rsidR="00065BDD" w:rsidP="006510DD" w:rsidRDefault="00065BDD" w14:paraId="10754463" w14:textId="22780C1F">
            <w:pPr>
              <w:rPr>
                <w:rFonts w:ascii="Arial" w:hAnsi="Arial" w:cs="Arial"/>
                <w:b/>
                <w:bCs/>
                <w:color w:val="000000" w:themeColor="text1"/>
                <w:kern w:val="36"/>
                <w:lang w:eastAsia="en-GB"/>
              </w:rPr>
            </w:pPr>
            <w:r w:rsidRPr="00865223">
              <w:rPr>
                <w:rFonts w:ascii="Arial" w:hAnsi="Arial" w:cs="Arial"/>
                <w:b/>
                <w:bCs/>
                <w:color w:val="000000" w:themeColor="text1"/>
                <w:kern w:val="36"/>
                <w:lang w:eastAsia="en-GB"/>
              </w:rPr>
              <w:t>202</w:t>
            </w:r>
            <w:r w:rsidR="000C5406">
              <w:rPr>
                <w:rFonts w:ascii="Arial" w:hAnsi="Arial" w:cs="Arial"/>
                <w:b/>
                <w:bCs/>
                <w:color w:val="000000" w:themeColor="text1"/>
                <w:kern w:val="36"/>
                <w:lang w:eastAsia="en-GB"/>
              </w:rPr>
              <w:t>3</w:t>
            </w:r>
            <w:r w:rsidRPr="00865223">
              <w:rPr>
                <w:rFonts w:ascii="Arial" w:hAnsi="Arial" w:cs="Arial"/>
                <w:b/>
                <w:bCs/>
                <w:color w:val="000000" w:themeColor="text1"/>
                <w:kern w:val="36"/>
                <w:lang w:eastAsia="en-GB"/>
              </w:rPr>
              <w:t>/202</w:t>
            </w:r>
            <w:r w:rsidR="000C5406">
              <w:rPr>
                <w:rFonts w:ascii="Arial" w:hAnsi="Arial" w:cs="Arial"/>
                <w:b/>
                <w:bCs/>
                <w:color w:val="000000" w:themeColor="text1"/>
                <w:kern w:val="36"/>
                <w:lang w:eastAsia="en-GB"/>
              </w:rPr>
              <w:t>4</w:t>
            </w:r>
          </w:p>
        </w:tc>
        <w:tc>
          <w:tcPr>
            <w:tcW w:w="283" w:type="dxa"/>
            <w:vMerge w:val="restart"/>
          </w:tcPr>
          <w:p w:rsidR="00065BDD" w:rsidP="006510DD" w:rsidRDefault="00065BDD" w14:paraId="04B3BBC9" w14:textId="77777777">
            <w:pPr>
              <w:rPr>
                <w:rFonts w:ascii="Arial" w:hAnsi="Arial" w:cs="Arial"/>
                <w:b/>
                <w:bCs/>
                <w:color w:val="000000" w:themeColor="text1"/>
                <w:kern w:val="36"/>
                <w:lang w:eastAsia="en-GB"/>
              </w:rPr>
            </w:pPr>
          </w:p>
        </w:tc>
        <w:tc>
          <w:tcPr>
            <w:tcW w:w="3827" w:type="dxa"/>
            <w:gridSpan w:val="3"/>
          </w:tcPr>
          <w:p w:rsidR="00065BDD" w:rsidP="009F3655" w:rsidRDefault="00065BDD" w14:paraId="1F89C421" w14:textId="71FCF47B">
            <w:pPr>
              <w:rPr>
                <w:rFonts w:ascii="Arial" w:hAnsi="Arial" w:cs="Arial"/>
                <w:b/>
                <w:bCs/>
                <w:color w:val="000000" w:themeColor="text1"/>
                <w:kern w:val="36"/>
                <w:lang w:eastAsia="en-GB"/>
              </w:rPr>
            </w:pPr>
            <w:r>
              <w:rPr>
                <w:rFonts w:ascii="Arial" w:hAnsi="Arial" w:cs="Arial"/>
                <w:b/>
                <w:bCs/>
                <w:color w:val="000000" w:themeColor="text1"/>
                <w:kern w:val="36"/>
                <w:lang w:eastAsia="en-GB"/>
              </w:rPr>
              <w:t>202</w:t>
            </w:r>
            <w:r w:rsidR="000C5406">
              <w:rPr>
                <w:rFonts w:ascii="Arial" w:hAnsi="Arial" w:cs="Arial"/>
                <w:b/>
                <w:bCs/>
                <w:color w:val="000000" w:themeColor="text1"/>
                <w:kern w:val="36"/>
                <w:lang w:eastAsia="en-GB"/>
              </w:rPr>
              <w:t>4</w:t>
            </w:r>
            <w:r>
              <w:rPr>
                <w:rFonts w:ascii="Arial" w:hAnsi="Arial" w:cs="Arial"/>
                <w:b/>
                <w:bCs/>
                <w:color w:val="000000" w:themeColor="text1"/>
                <w:kern w:val="36"/>
                <w:lang w:eastAsia="en-GB"/>
              </w:rPr>
              <w:t>/202</w:t>
            </w:r>
            <w:r w:rsidR="000C5406">
              <w:rPr>
                <w:rFonts w:ascii="Arial" w:hAnsi="Arial" w:cs="Arial"/>
                <w:b/>
                <w:bCs/>
                <w:color w:val="000000" w:themeColor="text1"/>
                <w:kern w:val="36"/>
                <w:lang w:eastAsia="en-GB"/>
              </w:rPr>
              <w:t>5</w:t>
            </w:r>
            <w:r w:rsidR="00B41C17">
              <w:rPr>
                <w:rFonts w:ascii="Arial" w:hAnsi="Arial" w:cs="Arial"/>
                <w:b/>
                <w:bCs/>
                <w:color w:val="000000" w:themeColor="text1"/>
                <w:kern w:val="36"/>
                <w:lang w:eastAsia="en-GB"/>
              </w:rPr>
              <w:t xml:space="preserve"> </w:t>
            </w:r>
          </w:p>
        </w:tc>
      </w:tr>
      <w:tr w:rsidRPr="00865223" w:rsidR="00065BDD" w:rsidTr="0022589D" w14:paraId="042E3756" w14:textId="0335E588">
        <w:trPr>
          <w:trHeight w:val="340" w:hRule="exact"/>
        </w:trPr>
        <w:tc>
          <w:tcPr>
            <w:tcW w:w="567" w:type="dxa"/>
          </w:tcPr>
          <w:p w:rsidRPr="00865223" w:rsidR="00065BDD" w:rsidP="006510DD" w:rsidRDefault="00065BDD" w14:paraId="26EDC6CB" w14:textId="77777777">
            <w:pPr>
              <w:rPr>
                <w:rFonts w:ascii="Arial" w:hAnsi="Arial" w:cs="Arial"/>
                <w:b/>
                <w:bCs/>
                <w:color w:val="000000" w:themeColor="text1"/>
                <w:lang w:eastAsia="en-GB"/>
              </w:rPr>
            </w:pPr>
          </w:p>
        </w:tc>
        <w:tc>
          <w:tcPr>
            <w:tcW w:w="1276" w:type="dxa"/>
          </w:tcPr>
          <w:p w:rsidRPr="00865223" w:rsidR="00065BDD" w:rsidP="006510DD" w:rsidRDefault="00065BDD" w14:paraId="0AF0280D"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MIN</w:t>
            </w:r>
          </w:p>
        </w:tc>
        <w:tc>
          <w:tcPr>
            <w:tcW w:w="1134" w:type="dxa"/>
          </w:tcPr>
          <w:p w:rsidRPr="00865223" w:rsidR="00065BDD" w:rsidP="006510DD" w:rsidRDefault="00065BDD" w14:paraId="3A3D2715"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MKT</w:t>
            </w:r>
          </w:p>
        </w:tc>
        <w:tc>
          <w:tcPr>
            <w:tcW w:w="1134" w:type="dxa"/>
          </w:tcPr>
          <w:p w:rsidRPr="00865223" w:rsidR="00065BDD" w:rsidP="006510DD" w:rsidRDefault="00065BDD" w14:paraId="5711187C"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MAX</w:t>
            </w:r>
          </w:p>
          <w:p w:rsidRPr="00865223" w:rsidR="00065BDD" w:rsidP="006510DD" w:rsidRDefault="00065BDD" w14:paraId="45E52E4E" w14:textId="77777777">
            <w:pPr>
              <w:rPr>
                <w:rFonts w:ascii="Arial" w:hAnsi="Arial" w:cs="Arial"/>
                <w:b/>
                <w:bCs/>
                <w:color w:val="000000" w:themeColor="text1"/>
                <w:lang w:eastAsia="en-GB"/>
              </w:rPr>
            </w:pPr>
          </w:p>
        </w:tc>
        <w:tc>
          <w:tcPr>
            <w:tcW w:w="283" w:type="dxa"/>
            <w:vMerge/>
          </w:tcPr>
          <w:p w:rsidRPr="00865223" w:rsidR="00065BDD" w:rsidP="006510DD" w:rsidRDefault="00065BDD" w14:paraId="395DB576" w14:textId="77777777">
            <w:pPr>
              <w:rPr>
                <w:rFonts w:ascii="Arial" w:hAnsi="Arial" w:cs="Arial"/>
                <w:b/>
                <w:bCs/>
                <w:color w:val="000000" w:themeColor="text1"/>
                <w:lang w:eastAsia="en-GB"/>
              </w:rPr>
            </w:pPr>
          </w:p>
        </w:tc>
        <w:tc>
          <w:tcPr>
            <w:tcW w:w="1418" w:type="dxa"/>
          </w:tcPr>
          <w:p w:rsidRPr="00865223" w:rsidR="00065BDD" w:rsidP="006510DD" w:rsidRDefault="00065BDD" w14:paraId="7A66986C" w14:textId="15D5C587">
            <w:pPr>
              <w:rPr>
                <w:rFonts w:ascii="Arial" w:hAnsi="Arial" w:cs="Arial"/>
                <w:b/>
                <w:bCs/>
                <w:color w:val="000000" w:themeColor="text1"/>
                <w:lang w:eastAsia="en-GB"/>
              </w:rPr>
            </w:pPr>
            <w:r w:rsidRPr="00865223">
              <w:rPr>
                <w:rFonts w:ascii="Arial" w:hAnsi="Arial" w:cs="Arial"/>
                <w:b/>
                <w:bCs/>
                <w:color w:val="000000" w:themeColor="text1"/>
                <w:lang w:eastAsia="en-GB"/>
              </w:rPr>
              <w:t>MIN</w:t>
            </w:r>
          </w:p>
        </w:tc>
        <w:tc>
          <w:tcPr>
            <w:tcW w:w="1134" w:type="dxa"/>
          </w:tcPr>
          <w:p w:rsidRPr="00865223" w:rsidR="00065BDD" w:rsidP="006510DD" w:rsidRDefault="00065BDD" w14:paraId="31993B89" w14:textId="02F9A696">
            <w:pPr>
              <w:rPr>
                <w:rFonts w:ascii="Arial" w:hAnsi="Arial" w:cs="Arial"/>
                <w:b/>
                <w:bCs/>
                <w:color w:val="000000" w:themeColor="text1"/>
                <w:lang w:eastAsia="en-GB"/>
              </w:rPr>
            </w:pPr>
            <w:r w:rsidRPr="00865223">
              <w:rPr>
                <w:rFonts w:ascii="Arial" w:hAnsi="Arial" w:cs="Arial"/>
                <w:b/>
                <w:bCs/>
                <w:color w:val="000000" w:themeColor="text1"/>
                <w:lang w:eastAsia="en-GB"/>
              </w:rPr>
              <w:t>MKT</w:t>
            </w:r>
          </w:p>
        </w:tc>
        <w:tc>
          <w:tcPr>
            <w:tcW w:w="1275" w:type="dxa"/>
          </w:tcPr>
          <w:p w:rsidRPr="00865223" w:rsidR="00065BDD" w:rsidP="006510DD" w:rsidRDefault="00065BDD" w14:paraId="5141C310"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MAX</w:t>
            </w:r>
          </w:p>
          <w:p w:rsidRPr="00865223" w:rsidR="00065BDD" w:rsidP="006510DD" w:rsidRDefault="00065BDD" w14:paraId="45B34715" w14:textId="77777777">
            <w:pPr>
              <w:rPr>
                <w:rFonts w:ascii="Arial" w:hAnsi="Arial" w:cs="Arial"/>
                <w:b/>
                <w:bCs/>
                <w:color w:val="000000" w:themeColor="text1"/>
                <w:lang w:eastAsia="en-GB"/>
              </w:rPr>
            </w:pPr>
          </w:p>
        </w:tc>
      </w:tr>
      <w:tr w:rsidRPr="00865223" w:rsidR="00065BDD" w:rsidTr="0022589D" w14:paraId="7FAE55FF" w14:textId="09BABEB6">
        <w:trPr>
          <w:trHeight w:val="340" w:hRule="exact"/>
        </w:trPr>
        <w:tc>
          <w:tcPr>
            <w:tcW w:w="567" w:type="dxa"/>
          </w:tcPr>
          <w:p w:rsidRPr="00865223" w:rsidR="00065BDD" w:rsidP="006510DD" w:rsidRDefault="00065BDD" w14:paraId="4E07FD98" w14:textId="356913A4">
            <w:pPr>
              <w:rPr>
                <w:rFonts w:ascii="Arial" w:hAnsi="Arial" w:cs="Arial"/>
                <w:color w:val="000000" w:themeColor="text1"/>
                <w:lang w:eastAsia="en-GB"/>
              </w:rPr>
            </w:pPr>
            <w:r>
              <w:rPr>
                <w:rFonts w:ascii="Arial" w:hAnsi="Arial" w:cs="Arial"/>
                <w:color w:val="000000" w:themeColor="text1"/>
                <w:lang w:eastAsia="en-GB"/>
              </w:rPr>
              <w:t>3</w:t>
            </w:r>
          </w:p>
        </w:tc>
        <w:tc>
          <w:tcPr>
            <w:tcW w:w="1276" w:type="dxa"/>
          </w:tcPr>
          <w:p w:rsidRPr="00865223" w:rsidR="00065BDD" w:rsidP="006510DD" w:rsidRDefault="00065BDD" w14:paraId="30735669" w14:textId="773FE94D">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58</w:t>
            </w:r>
            <w:r w:rsidR="000C5406">
              <w:rPr>
                <w:rFonts w:ascii="Arial" w:hAnsi="Arial" w:cs="Arial"/>
                <w:color w:val="000000"/>
                <w:lang w:eastAsia="en-GB"/>
              </w:rPr>
              <w:t>,</w:t>
            </w:r>
            <w:r w:rsidRPr="00657EA6" w:rsidR="000C5406">
              <w:rPr>
                <w:rFonts w:ascii="Arial" w:hAnsi="Arial" w:cs="Arial"/>
                <w:color w:val="000000"/>
                <w:lang w:eastAsia="en-GB"/>
              </w:rPr>
              <w:t>377</w:t>
            </w:r>
          </w:p>
        </w:tc>
        <w:tc>
          <w:tcPr>
            <w:tcW w:w="1134" w:type="dxa"/>
          </w:tcPr>
          <w:p w:rsidRPr="00865223" w:rsidR="00065BDD" w:rsidP="006510DD" w:rsidRDefault="00065BDD" w14:paraId="0E8E32E9" w14:textId="69E61BEB">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66</w:t>
            </w:r>
            <w:r w:rsidR="000C5406">
              <w:rPr>
                <w:rFonts w:ascii="Arial" w:hAnsi="Arial" w:cs="Arial"/>
                <w:color w:val="000000"/>
                <w:lang w:eastAsia="en-GB"/>
              </w:rPr>
              <w:t>,</w:t>
            </w:r>
            <w:r w:rsidRPr="00657EA6" w:rsidR="000C5406">
              <w:rPr>
                <w:rFonts w:ascii="Arial" w:hAnsi="Arial" w:cs="Arial"/>
                <w:color w:val="000000"/>
                <w:lang w:eastAsia="en-GB"/>
              </w:rPr>
              <w:t>337</w:t>
            </w:r>
          </w:p>
        </w:tc>
        <w:tc>
          <w:tcPr>
            <w:tcW w:w="1134" w:type="dxa"/>
          </w:tcPr>
          <w:p w:rsidRPr="00865223" w:rsidR="00065BDD" w:rsidP="006510DD" w:rsidRDefault="00065BDD" w14:paraId="44D6CE1F" w14:textId="3BC9E468">
            <w:pPr>
              <w:jc w:val="center"/>
              <w:rPr>
                <w:rFonts w:ascii="Arial" w:hAnsi="Arial" w:cs="Arial"/>
                <w:lang w:eastAsia="en-GB"/>
              </w:rPr>
            </w:pPr>
            <w:r w:rsidRPr="00524F04">
              <w:rPr>
                <w:rFonts w:ascii="Arial" w:hAnsi="Arial" w:cs="Arial"/>
                <w:color w:val="000000"/>
                <w:lang w:eastAsia="en-GB"/>
              </w:rPr>
              <w:t>£</w:t>
            </w:r>
            <w:r w:rsidRPr="003B0BE7" w:rsidR="000C5406">
              <w:rPr>
                <w:rFonts w:ascii="Arial" w:hAnsi="Arial" w:cs="Arial"/>
                <w:lang w:eastAsia="en-GB"/>
              </w:rPr>
              <w:t>76</w:t>
            </w:r>
            <w:r w:rsidR="000C5406">
              <w:rPr>
                <w:rFonts w:ascii="Arial" w:hAnsi="Arial" w:cs="Arial"/>
                <w:lang w:eastAsia="en-GB"/>
              </w:rPr>
              <w:t>,</w:t>
            </w:r>
            <w:r w:rsidRPr="003B0BE7" w:rsidR="000C5406">
              <w:rPr>
                <w:rFonts w:ascii="Arial" w:hAnsi="Arial" w:cs="Arial"/>
                <w:lang w:eastAsia="en-GB"/>
              </w:rPr>
              <w:t>881</w:t>
            </w:r>
          </w:p>
        </w:tc>
        <w:tc>
          <w:tcPr>
            <w:tcW w:w="283" w:type="dxa"/>
            <w:vMerge/>
          </w:tcPr>
          <w:p w:rsidRPr="00524F04" w:rsidR="00065BDD" w:rsidP="006510DD" w:rsidRDefault="00065BDD" w14:paraId="3E78DAE5" w14:textId="77777777">
            <w:pPr>
              <w:jc w:val="center"/>
              <w:rPr>
                <w:rFonts w:ascii="Arial" w:hAnsi="Arial" w:cs="Arial"/>
                <w:color w:val="000000"/>
                <w:lang w:eastAsia="en-GB"/>
              </w:rPr>
            </w:pPr>
          </w:p>
        </w:tc>
        <w:tc>
          <w:tcPr>
            <w:tcW w:w="1418" w:type="dxa"/>
          </w:tcPr>
          <w:p w:rsidRPr="003B0BE7" w:rsidR="00065BDD" w:rsidP="000C5406" w:rsidRDefault="003B0BE7" w14:paraId="09F2CB63" w14:textId="029A48A4">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60,71</w:t>
            </w:r>
            <w:r w:rsidR="0022589D">
              <w:rPr>
                <w:rFonts w:ascii="Arial" w:hAnsi="Arial" w:cs="Arial"/>
                <w:color w:val="000000"/>
                <w:lang w:eastAsia="en-GB"/>
              </w:rPr>
              <w:t>3</w:t>
            </w:r>
          </w:p>
        </w:tc>
        <w:tc>
          <w:tcPr>
            <w:tcW w:w="1134" w:type="dxa"/>
          </w:tcPr>
          <w:p w:rsidRPr="003B0BE7" w:rsidR="00065BDD" w:rsidP="000C5406" w:rsidRDefault="003B0BE7" w14:paraId="009D0CF4" w14:textId="514688CB">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68,99</w:t>
            </w:r>
            <w:r w:rsidR="0022589D">
              <w:rPr>
                <w:rFonts w:ascii="Arial" w:hAnsi="Arial" w:cs="Arial"/>
                <w:color w:val="000000"/>
                <w:lang w:eastAsia="en-GB"/>
              </w:rPr>
              <w:t>1</w:t>
            </w:r>
          </w:p>
        </w:tc>
        <w:tc>
          <w:tcPr>
            <w:tcW w:w="1275" w:type="dxa"/>
          </w:tcPr>
          <w:p w:rsidRPr="003B0BE7" w:rsidR="00065BDD" w:rsidP="000C5406" w:rsidRDefault="003B0BE7" w14:paraId="5C32FA92" w14:textId="2727376A">
            <w:pPr>
              <w:rPr>
                <w:rFonts w:ascii="Arial" w:hAnsi="Arial" w:cs="Arial"/>
                <w:lang w:eastAsia="en-GB"/>
              </w:rPr>
            </w:pPr>
            <w:r>
              <w:rPr>
                <w:rFonts w:ascii="Arial" w:hAnsi="Arial" w:cs="Arial"/>
                <w:lang w:eastAsia="en-GB"/>
              </w:rPr>
              <w:t>£</w:t>
            </w:r>
            <w:r w:rsidR="008C5169">
              <w:rPr>
                <w:rFonts w:ascii="Arial" w:hAnsi="Arial" w:cs="Arial"/>
                <w:lang w:eastAsia="en-GB"/>
              </w:rPr>
              <w:t>79</w:t>
            </w:r>
            <w:r w:rsidR="009B79E8">
              <w:rPr>
                <w:rFonts w:ascii="Arial" w:hAnsi="Arial" w:cs="Arial"/>
                <w:lang w:eastAsia="en-GB"/>
              </w:rPr>
              <w:t>,</w:t>
            </w:r>
            <w:r w:rsidR="008C5169">
              <w:rPr>
                <w:rFonts w:ascii="Arial" w:hAnsi="Arial" w:cs="Arial"/>
                <w:lang w:eastAsia="en-GB"/>
              </w:rPr>
              <w:t>95</w:t>
            </w:r>
            <w:r w:rsidR="0022589D">
              <w:rPr>
                <w:rFonts w:ascii="Arial" w:hAnsi="Arial" w:cs="Arial"/>
                <w:lang w:eastAsia="en-GB"/>
              </w:rPr>
              <w:t>7</w:t>
            </w:r>
          </w:p>
        </w:tc>
      </w:tr>
      <w:tr w:rsidRPr="00865223" w:rsidR="00065BDD" w:rsidTr="0022589D" w14:paraId="113159C3" w14:textId="2AC3A48F">
        <w:trPr>
          <w:trHeight w:val="340" w:hRule="exact"/>
        </w:trPr>
        <w:tc>
          <w:tcPr>
            <w:tcW w:w="567" w:type="dxa"/>
          </w:tcPr>
          <w:p w:rsidRPr="00865223" w:rsidR="00065BDD" w:rsidP="006510DD" w:rsidRDefault="00065BDD" w14:paraId="6DF6DFF2" w14:textId="3808C07C">
            <w:pPr>
              <w:rPr>
                <w:rFonts w:ascii="Arial" w:hAnsi="Arial" w:cs="Arial"/>
                <w:color w:val="000000" w:themeColor="text1"/>
                <w:lang w:eastAsia="en-GB"/>
              </w:rPr>
            </w:pPr>
            <w:r>
              <w:rPr>
                <w:rFonts w:ascii="Arial" w:hAnsi="Arial" w:cs="Arial"/>
                <w:color w:val="000000" w:themeColor="text1"/>
                <w:lang w:eastAsia="en-GB"/>
              </w:rPr>
              <w:t>4</w:t>
            </w:r>
          </w:p>
        </w:tc>
        <w:tc>
          <w:tcPr>
            <w:tcW w:w="1276" w:type="dxa"/>
          </w:tcPr>
          <w:p w:rsidRPr="00865223" w:rsidR="00065BDD" w:rsidP="006510DD" w:rsidRDefault="00065BDD" w14:paraId="42318D91" w14:textId="4F8EFB54">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52</w:t>
            </w:r>
            <w:r w:rsidR="000C5406">
              <w:rPr>
                <w:rFonts w:ascii="Arial" w:hAnsi="Arial" w:cs="Arial"/>
                <w:color w:val="000000"/>
                <w:lang w:eastAsia="en-GB"/>
              </w:rPr>
              <w:t>,</w:t>
            </w:r>
            <w:r w:rsidRPr="00657EA6" w:rsidR="000C5406">
              <w:rPr>
                <w:rFonts w:ascii="Arial" w:hAnsi="Arial" w:cs="Arial"/>
                <w:color w:val="000000"/>
                <w:lang w:eastAsia="en-GB"/>
              </w:rPr>
              <w:t>222</w:t>
            </w:r>
          </w:p>
        </w:tc>
        <w:tc>
          <w:tcPr>
            <w:tcW w:w="1134" w:type="dxa"/>
          </w:tcPr>
          <w:p w:rsidRPr="00865223" w:rsidR="00065BDD" w:rsidP="006510DD" w:rsidRDefault="00065BDD" w14:paraId="578F8ACF" w14:textId="3B4CA6EC">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59</w:t>
            </w:r>
            <w:r w:rsidR="000C5406">
              <w:rPr>
                <w:rFonts w:ascii="Arial" w:hAnsi="Arial" w:cs="Arial"/>
                <w:color w:val="000000"/>
                <w:lang w:eastAsia="en-GB"/>
              </w:rPr>
              <w:t>,</w:t>
            </w:r>
            <w:r w:rsidRPr="00657EA6" w:rsidR="000C5406">
              <w:rPr>
                <w:rFonts w:ascii="Arial" w:hAnsi="Arial" w:cs="Arial"/>
                <w:color w:val="000000"/>
                <w:lang w:eastAsia="en-GB"/>
              </w:rPr>
              <w:t>343</w:t>
            </w:r>
          </w:p>
        </w:tc>
        <w:tc>
          <w:tcPr>
            <w:tcW w:w="1134" w:type="dxa"/>
          </w:tcPr>
          <w:p w:rsidRPr="00865223" w:rsidR="00065BDD" w:rsidP="006510DD" w:rsidRDefault="00065BDD" w14:paraId="2C1DE044" w14:textId="06AC8AAC">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68</w:t>
            </w:r>
            <w:r w:rsidR="000C5406">
              <w:rPr>
                <w:rFonts w:ascii="Arial" w:hAnsi="Arial" w:cs="Arial"/>
                <w:color w:val="000000"/>
                <w:lang w:eastAsia="en-GB"/>
              </w:rPr>
              <w:t>,</w:t>
            </w:r>
            <w:r w:rsidRPr="00657EA6" w:rsidR="000C5406">
              <w:rPr>
                <w:rFonts w:ascii="Arial" w:hAnsi="Arial" w:cs="Arial"/>
                <w:color w:val="000000"/>
                <w:lang w:eastAsia="en-GB"/>
              </w:rPr>
              <w:t>597</w:t>
            </w:r>
          </w:p>
        </w:tc>
        <w:tc>
          <w:tcPr>
            <w:tcW w:w="283" w:type="dxa"/>
            <w:vMerge/>
          </w:tcPr>
          <w:p w:rsidRPr="00524F04" w:rsidR="00065BDD" w:rsidP="006510DD" w:rsidRDefault="00065BDD" w14:paraId="6905BAF4" w14:textId="77777777">
            <w:pPr>
              <w:jc w:val="center"/>
              <w:rPr>
                <w:rFonts w:ascii="Arial" w:hAnsi="Arial" w:cs="Arial"/>
                <w:color w:val="000000"/>
                <w:lang w:eastAsia="en-GB"/>
              </w:rPr>
            </w:pPr>
          </w:p>
        </w:tc>
        <w:tc>
          <w:tcPr>
            <w:tcW w:w="1418" w:type="dxa"/>
          </w:tcPr>
          <w:p w:rsidRPr="003B0BE7" w:rsidR="00065BDD" w:rsidP="000C5406" w:rsidRDefault="003B0BE7" w14:paraId="0F98C15B" w14:textId="2DF9A3F9">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54,311</w:t>
            </w:r>
          </w:p>
        </w:tc>
        <w:tc>
          <w:tcPr>
            <w:tcW w:w="1134" w:type="dxa"/>
          </w:tcPr>
          <w:p w:rsidRPr="003B0BE7" w:rsidR="00065BDD" w:rsidP="000C5406" w:rsidRDefault="003B0BE7" w14:paraId="2C0E7E06" w14:textId="33671CF0">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61,717</w:t>
            </w:r>
          </w:p>
        </w:tc>
        <w:tc>
          <w:tcPr>
            <w:tcW w:w="1275" w:type="dxa"/>
          </w:tcPr>
          <w:p w:rsidRPr="003B0BE7" w:rsidR="00065BDD" w:rsidP="000C5406" w:rsidRDefault="003B0BE7" w14:paraId="2E8CBC8B" w14:textId="69B107DE">
            <w:pPr>
              <w:rPr>
                <w:rFonts w:ascii="Arial" w:hAnsi="Arial" w:cs="Arial"/>
                <w:lang w:eastAsia="en-GB"/>
              </w:rPr>
            </w:pPr>
            <w:r>
              <w:rPr>
                <w:rFonts w:ascii="Arial" w:hAnsi="Arial" w:cs="Arial"/>
                <w:color w:val="000000"/>
                <w:lang w:eastAsia="en-GB"/>
              </w:rPr>
              <w:t>£</w:t>
            </w:r>
            <w:r w:rsidR="008C5169">
              <w:rPr>
                <w:rFonts w:ascii="Arial" w:hAnsi="Arial" w:cs="Arial"/>
                <w:color w:val="000000"/>
                <w:lang w:eastAsia="en-GB"/>
              </w:rPr>
              <w:t>71,341</w:t>
            </w:r>
          </w:p>
        </w:tc>
      </w:tr>
      <w:tr w:rsidRPr="00865223" w:rsidR="00065BDD" w:rsidTr="0022589D" w14:paraId="72E64483" w14:textId="6829FBFB">
        <w:trPr>
          <w:trHeight w:val="340" w:hRule="exact"/>
        </w:trPr>
        <w:tc>
          <w:tcPr>
            <w:tcW w:w="567" w:type="dxa"/>
          </w:tcPr>
          <w:p w:rsidRPr="00865223" w:rsidR="00065BDD" w:rsidP="006510DD" w:rsidRDefault="00065BDD" w14:paraId="6E5920A5" w14:textId="23327D91">
            <w:pPr>
              <w:rPr>
                <w:rFonts w:ascii="Arial" w:hAnsi="Arial" w:cs="Arial"/>
                <w:color w:val="000000" w:themeColor="text1"/>
                <w:lang w:eastAsia="en-GB"/>
              </w:rPr>
            </w:pPr>
            <w:r>
              <w:rPr>
                <w:rFonts w:ascii="Arial" w:hAnsi="Arial" w:cs="Arial"/>
                <w:color w:val="000000" w:themeColor="text1"/>
                <w:lang w:eastAsia="en-GB"/>
              </w:rPr>
              <w:t>5</w:t>
            </w:r>
          </w:p>
        </w:tc>
        <w:tc>
          <w:tcPr>
            <w:tcW w:w="1276" w:type="dxa"/>
          </w:tcPr>
          <w:p w:rsidRPr="00865223" w:rsidR="00065BDD" w:rsidP="006510DD" w:rsidRDefault="00065BDD" w14:paraId="5DA7811B" w14:textId="190B742C">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45</w:t>
            </w:r>
            <w:r w:rsidR="000C5406">
              <w:rPr>
                <w:rFonts w:ascii="Arial" w:hAnsi="Arial" w:cs="Arial"/>
                <w:color w:val="000000"/>
                <w:lang w:eastAsia="en-GB"/>
              </w:rPr>
              <w:t>,</w:t>
            </w:r>
            <w:r w:rsidRPr="00657EA6" w:rsidR="000C5406">
              <w:rPr>
                <w:rFonts w:ascii="Arial" w:hAnsi="Arial" w:cs="Arial"/>
                <w:color w:val="000000"/>
                <w:lang w:eastAsia="en-GB"/>
              </w:rPr>
              <w:t>475</w:t>
            </w:r>
          </w:p>
        </w:tc>
        <w:tc>
          <w:tcPr>
            <w:tcW w:w="1134" w:type="dxa"/>
          </w:tcPr>
          <w:p w:rsidRPr="00865223" w:rsidR="00065BDD" w:rsidP="006510DD" w:rsidRDefault="00065BDD" w14:paraId="67B141D0" w14:textId="67748D6E">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51</w:t>
            </w:r>
            <w:r w:rsidR="000C5406">
              <w:rPr>
                <w:rFonts w:ascii="Arial" w:hAnsi="Arial" w:cs="Arial"/>
                <w:color w:val="000000"/>
                <w:lang w:eastAsia="en-GB"/>
              </w:rPr>
              <w:t>,</w:t>
            </w:r>
            <w:r w:rsidRPr="00657EA6" w:rsidR="000C5406">
              <w:rPr>
                <w:rFonts w:ascii="Arial" w:hAnsi="Arial" w:cs="Arial"/>
                <w:color w:val="000000"/>
                <w:lang w:eastAsia="en-GB"/>
              </w:rPr>
              <w:t>672</w:t>
            </w:r>
          </w:p>
        </w:tc>
        <w:tc>
          <w:tcPr>
            <w:tcW w:w="1134" w:type="dxa"/>
          </w:tcPr>
          <w:p w:rsidRPr="00865223" w:rsidR="00065BDD" w:rsidP="006510DD" w:rsidRDefault="00065BDD" w14:paraId="4E92DAF2" w14:textId="7D629FCE">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59</w:t>
            </w:r>
            <w:r w:rsidR="000C5406">
              <w:rPr>
                <w:rFonts w:ascii="Arial" w:hAnsi="Arial" w:cs="Arial"/>
                <w:color w:val="000000"/>
                <w:lang w:eastAsia="en-GB"/>
              </w:rPr>
              <w:t>,</w:t>
            </w:r>
            <w:r w:rsidRPr="00657EA6" w:rsidR="000C5406">
              <w:rPr>
                <w:rFonts w:ascii="Arial" w:hAnsi="Arial" w:cs="Arial"/>
                <w:color w:val="000000"/>
                <w:lang w:eastAsia="en-GB"/>
              </w:rPr>
              <w:t>577</w:t>
            </w:r>
          </w:p>
        </w:tc>
        <w:tc>
          <w:tcPr>
            <w:tcW w:w="283" w:type="dxa"/>
            <w:vMerge/>
          </w:tcPr>
          <w:p w:rsidRPr="00524F04" w:rsidR="00065BDD" w:rsidP="006510DD" w:rsidRDefault="00065BDD" w14:paraId="4A9C69F4" w14:textId="77777777">
            <w:pPr>
              <w:jc w:val="center"/>
              <w:rPr>
                <w:rFonts w:ascii="Arial" w:hAnsi="Arial" w:cs="Arial"/>
                <w:color w:val="000000"/>
                <w:lang w:eastAsia="en-GB"/>
              </w:rPr>
            </w:pPr>
          </w:p>
        </w:tc>
        <w:tc>
          <w:tcPr>
            <w:tcW w:w="1418" w:type="dxa"/>
          </w:tcPr>
          <w:p w:rsidRPr="003B0BE7" w:rsidR="00065BDD" w:rsidP="000C5406" w:rsidRDefault="003B0BE7" w14:paraId="601CC95D" w14:textId="73A0E8C3">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47,294</w:t>
            </w:r>
          </w:p>
        </w:tc>
        <w:tc>
          <w:tcPr>
            <w:tcW w:w="1134" w:type="dxa"/>
          </w:tcPr>
          <w:p w:rsidRPr="003B0BE7" w:rsidR="00065BDD" w:rsidP="000C5406" w:rsidRDefault="003B0BE7" w14:paraId="42D8733F" w14:textId="3E03290E">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53,739</w:t>
            </w:r>
          </w:p>
        </w:tc>
        <w:tc>
          <w:tcPr>
            <w:tcW w:w="1275" w:type="dxa"/>
          </w:tcPr>
          <w:p w:rsidRPr="003B0BE7" w:rsidR="00065BDD" w:rsidP="000C5406" w:rsidRDefault="003B0BE7" w14:paraId="2DB4C412" w14:textId="071537CC">
            <w:pPr>
              <w:rPr>
                <w:rFonts w:ascii="Arial" w:hAnsi="Arial" w:cs="Arial"/>
                <w:lang w:eastAsia="en-GB"/>
              </w:rPr>
            </w:pPr>
            <w:r>
              <w:rPr>
                <w:rFonts w:ascii="Arial" w:hAnsi="Arial" w:cs="Arial"/>
                <w:color w:val="000000"/>
                <w:lang w:eastAsia="en-GB"/>
              </w:rPr>
              <w:t>£</w:t>
            </w:r>
            <w:r w:rsidR="008C5169">
              <w:rPr>
                <w:rFonts w:ascii="Arial" w:hAnsi="Arial" w:cs="Arial"/>
                <w:color w:val="000000"/>
                <w:lang w:eastAsia="en-GB"/>
              </w:rPr>
              <w:t>61,96</w:t>
            </w:r>
            <w:r w:rsidR="0022589D">
              <w:rPr>
                <w:rFonts w:ascii="Arial" w:hAnsi="Arial" w:cs="Arial"/>
                <w:color w:val="000000"/>
                <w:lang w:eastAsia="en-GB"/>
              </w:rPr>
              <w:t>1</w:t>
            </w:r>
          </w:p>
        </w:tc>
      </w:tr>
      <w:tr w:rsidRPr="00865223" w:rsidR="00065BDD" w:rsidTr="0022589D" w14:paraId="65853548" w14:textId="0AD2B1FF">
        <w:trPr>
          <w:trHeight w:val="340" w:hRule="exact"/>
        </w:trPr>
        <w:tc>
          <w:tcPr>
            <w:tcW w:w="567" w:type="dxa"/>
          </w:tcPr>
          <w:p w:rsidRPr="00865223" w:rsidR="00065BDD" w:rsidP="006510DD" w:rsidRDefault="00065BDD" w14:paraId="296852B7" w14:textId="45DADF2F">
            <w:pPr>
              <w:rPr>
                <w:rFonts w:ascii="Arial" w:hAnsi="Arial" w:cs="Arial"/>
                <w:color w:val="000000" w:themeColor="text1"/>
                <w:lang w:eastAsia="en-GB"/>
              </w:rPr>
            </w:pPr>
            <w:r>
              <w:rPr>
                <w:rFonts w:ascii="Arial" w:hAnsi="Arial" w:cs="Arial"/>
                <w:color w:val="000000" w:themeColor="text1"/>
                <w:lang w:eastAsia="en-GB"/>
              </w:rPr>
              <w:t>6</w:t>
            </w:r>
          </w:p>
        </w:tc>
        <w:tc>
          <w:tcPr>
            <w:tcW w:w="1276" w:type="dxa"/>
          </w:tcPr>
          <w:p w:rsidRPr="00865223" w:rsidR="00065BDD" w:rsidP="006510DD" w:rsidRDefault="00065BDD" w14:paraId="27C1F4C6" w14:textId="147AF4DA">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40</w:t>
            </w:r>
            <w:r w:rsidR="000C5406">
              <w:rPr>
                <w:rFonts w:ascii="Arial" w:hAnsi="Arial" w:cs="Arial"/>
                <w:color w:val="000000"/>
                <w:lang w:eastAsia="en-GB"/>
              </w:rPr>
              <w:t>,</w:t>
            </w:r>
            <w:r w:rsidRPr="00657EA6" w:rsidR="000C5406">
              <w:rPr>
                <w:rFonts w:ascii="Arial" w:hAnsi="Arial" w:cs="Arial"/>
                <w:color w:val="000000"/>
                <w:lang w:eastAsia="en-GB"/>
              </w:rPr>
              <w:t>090</w:t>
            </w:r>
          </w:p>
        </w:tc>
        <w:tc>
          <w:tcPr>
            <w:tcW w:w="1134" w:type="dxa"/>
          </w:tcPr>
          <w:p w:rsidRPr="00865223" w:rsidR="00065BDD" w:rsidP="006510DD" w:rsidRDefault="00065BDD" w14:paraId="3C2F0E9A" w14:textId="4C100B5D">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45</w:t>
            </w:r>
            <w:r w:rsidR="000C5406">
              <w:rPr>
                <w:rFonts w:ascii="Arial" w:hAnsi="Arial" w:cs="Arial"/>
                <w:color w:val="000000"/>
                <w:lang w:eastAsia="en-GB"/>
              </w:rPr>
              <w:t>,</w:t>
            </w:r>
            <w:r w:rsidRPr="00657EA6" w:rsidR="000C5406">
              <w:rPr>
                <w:rFonts w:ascii="Arial" w:hAnsi="Arial" w:cs="Arial"/>
                <w:color w:val="000000"/>
                <w:lang w:eastAsia="en-GB"/>
              </w:rPr>
              <w:t>448</w:t>
            </w:r>
          </w:p>
        </w:tc>
        <w:tc>
          <w:tcPr>
            <w:tcW w:w="1134" w:type="dxa"/>
          </w:tcPr>
          <w:p w:rsidRPr="00865223" w:rsidR="00065BDD" w:rsidP="006510DD" w:rsidRDefault="00065BDD" w14:paraId="3E1277A8" w14:textId="1E90C328">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52</w:t>
            </w:r>
            <w:r w:rsidR="000C5406">
              <w:rPr>
                <w:rFonts w:ascii="Arial" w:hAnsi="Arial" w:cs="Arial"/>
                <w:color w:val="000000"/>
                <w:lang w:eastAsia="en-GB"/>
              </w:rPr>
              <w:t>,</w:t>
            </w:r>
            <w:r w:rsidRPr="00657EA6" w:rsidR="000C5406">
              <w:rPr>
                <w:rFonts w:ascii="Arial" w:hAnsi="Arial" w:cs="Arial"/>
                <w:color w:val="000000"/>
                <w:lang w:eastAsia="en-GB"/>
              </w:rPr>
              <w:t>263</w:t>
            </w:r>
          </w:p>
        </w:tc>
        <w:tc>
          <w:tcPr>
            <w:tcW w:w="283" w:type="dxa"/>
            <w:vMerge/>
          </w:tcPr>
          <w:p w:rsidRPr="00524F04" w:rsidR="00065BDD" w:rsidP="006510DD" w:rsidRDefault="00065BDD" w14:paraId="398397F0" w14:textId="77777777">
            <w:pPr>
              <w:jc w:val="center"/>
              <w:rPr>
                <w:rFonts w:ascii="Arial" w:hAnsi="Arial" w:cs="Arial"/>
                <w:color w:val="000000"/>
                <w:lang w:eastAsia="en-GB"/>
              </w:rPr>
            </w:pPr>
          </w:p>
        </w:tc>
        <w:tc>
          <w:tcPr>
            <w:tcW w:w="1418" w:type="dxa"/>
          </w:tcPr>
          <w:p w:rsidRPr="003B0BE7" w:rsidR="00065BDD" w:rsidP="000C5406" w:rsidRDefault="003B0BE7" w14:paraId="1E04C728" w14:textId="6F4BA7D3">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41,694</w:t>
            </w:r>
          </w:p>
        </w:tc>
        <w:tc>
          <w:tcPr>
            <w:tcW w:w="1134" w:type="dxa"/>
          </w:tcPr>
          <w:p w:rsidRPr="003B0BE7" w:rsidR="00065BDD" w:rsidP="000C5406" w:rsidRDefault="003B0BE7" w14:paraId="582DB1B2" w14:textId="7F0B0D63">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47,266</w:t>
            </w:r>
          </w:p>
        </w:tc>
        <w:tc>
          <w:tcPr>
            <w:tcW w:w="1275" w:type="dxa"/>
          </w:tcPr>
          <w:p w:rsidRPr="003B0BE7" w:rsidR="00065BDD" w:rsidP="000C5406" w:rsidRDefault="003B0BE7" w14:paraId="500333BD" w14:textId="42B91C85">
            <w:pPr>
              <w:rPr>
                <w:rFonts w:ascii="Arial" w:hAnsi="Arial" w:cs="Arial"/>
                <w:lang w:eastAsia="en-GB"/>
              </w:rPr>
            </w:pPr>
            <w:r>
              <w:rPr>
                <w:rFonts w:ascii="Arial" w:hAnsi="Arial" w:cs="Arial"/>
                <w:color w:val="000000"/>
                <w:lang w:eastAsia="en-GB"/>
              </w:rPr>
              <w:t>£</w:t>
            </w:r>
            <w:r w:rsidR="008C5169">
              <w:rPr>
                <w:rFonts w:ascii="Arial" w:hAnsi="Arial" w:cs="Arial"/>
                <w:color w:val="000000"/>
                <w:lang w:eastAsia="en-GB"/>
              </w:rPr>
              <w:t>54,354</w:t>
            </w:r>
          </w:p>
        </w:tc>
      </w:tr>
      <w:tr w:rsidRPr="00865223" w:rsidR="00065BDD" w:rsidTr="0022589D" w14:paraId="722A6DF9" w14:textId="25E4CB07">
        <w:trPr>
          <w:trHeight w:val="340" w:hRule="exact"/>
        </w:trPr>
        <w:tc>
          <w:tcPr>
            <w:tcW w:w="567" w:type="dxa"/>
          </w:tcPr>
          <w:p w:rsidRPr="00865223" w:rsidR="00065BDD" w:rsidP="006510DD" w:rsidRDefault="00065BDD" w14:paraId="178FCC2D" w14:textId="349B8D40">
            <w:pPr>
              <w:rPr>
                <w:rFonts w:ascii="Arial" w:hAnsi="Arial" w:cs="Arial"/>
                <w:color w:val="000000" w:themeColor="text1"/>
                <w:lang w:eastAsia="en-GB"/>
              </w:rPr>
            </w:pPr>
            <w:r>
              <w:rPr>
                <w:rFonts w:ascii="Arial" w:hAnsi="Arial" w:cs="Arial"/>
                <w:color w:val="000000" w:themeColor="text1"/>
                <w:lang w:eastAsia="en-GB"/>
              </w:rPr>
              <w:t>7</w:t>
            </w:r>
          </w:p>
        </w:tc>
        <w:tc>
          <w:tcPr>
            <w:tcW w:w="1276" w:type="dxa"/>
          </w:tcPr>
          <w:p w:rsidRPr="00865223" w:rsidR="00065BDD" w:rsidP="006510DD" w:rsidRDefault="00065BDD" w14:paraId="34DB62EA" w14:textId="24E6E297">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35</w:t>
            </w:r>
            <w:r w:rsidR="000C5406">
              <w:rPr>
                <w:rFonts w:ascii="Arial" w:hAnsi="Arial" w:cs="Arial"/>
                <w:color w:val="000000"/>
                <w:lang w:eastAsia="en-GB"/>
              </w:rPr>
              <w:t>,</w:t>
            </w:r>
            <w:r w:rsidRPr="00657EA6" w:rsidR="000C5406">
              <w:rPr>
                <w:rFonts w:ascii="Arial" w:hAnsi="Arial" w:cs="Arial"/>
                <w:color w:val="000000"/>
                <w:lang w:eastAsia="en-GB"/>
              </w:rPr>
              <w:t>427</w:t>
            </w:r>
          </w:p>
        </w:tc>
        <w:tc>
          <w:tcPr>
            <w:tcW w:w="1134" w:type="dxa"/>
          </w:tcPr>
          <w:p w:rsidRPr="00865223" w:rsidR="00065BDD" w:rsidP="006510DD" w:rsidRDefault="00065BDD" w14:paraId="2E66FBF2" w14:textId="488F7CB8">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39</w:t>
            </w:r>
            <w:r w:rsidR="000C5406">
              <w:rPr>
                <w:rFonts w:ascii="Arial" w:hAnsi="Arial" w:cs="Arial"/>
                <w:color w:val="000000"/>
                <w:lang w:eastAsia="en-GB"/>
              </w:rPr>
              <w:t>,</w:t>
            </w:r>
            <w:r w:rsidRPr="00657EA6" w:rsidR="000C5406">
              <w:rPr>
                <w:rFonts w:ascii="Arial" w:hAnsi="Arial" w:cs="Arial"/>
                <w:color w:val="000000"/>
                <w:lang w:eastAsia="en-GB"/>
              </w:rPr>
              <w:t>977</w:t>
            </w:r>
          </w:p>
        </w:tc>
        <w:tc>
          <w:tcPr>
            <w:tcW w:w="1134" w:type="dxa"/>
          </w:tcPr>
          <w:p w:rsidRPr="00865223" w:rsidR="00065BDD" w:rsidP="006510DD" w:rsidRDefault="00065BDD" w14:paraId="023CD0FF" w14:textId="43B06BB8">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45</w:t>
            </w:r>
            <w:r w:rsidR="000C5406">
              <w:rPr>
                <w:rFonts w:ascii="Arial" w:hAnsi="Arial" w:cs="Arial"/>
                <w:color w:val="000000"/>
                <w:lang w:eastAsia="en-GB"/>
              </w:rPr>
              <w:t>,619</w:t>
            </w:r>
          </w:p>
        </w:tc>
        <w:tc>
          <w:tcPr>
            <w:tcW w:w="283" w:type="dxa"/>
            <w:vMerge/>
          </w:tcPr>
          <w:p w:rsidRPr="00524F04" w:rsidR="00065BDD" w:rsidP="006510DD" w:rsidRDefault="00065BDD" w14:paraId="33DE4BBB" w14:textId="77777777">
            <w:pPr>
              <w:jc w:val="center"/>
              <w:rPr>
                <w:rFonts w:ascii="Arial" w:hAnsi="Arial" w:cs="Arial"/>
                <w:color w:val="000000"/>
                <w:lang w:eastAsia="en-GB"/>
              </w:rPr>
            </w:pPr>
          </w:p>
        </w:tc>
        <w:tc>
          <w:tcPr>
            <w:tcW w:w="1418" w:type="dxa"/>
          </w:tcPr>
          <w:p w:rsidRPr="003B0BE7" w:rsidR="00065BDD" w:rsidP="000C5406" w:rsidRDefault="003B0BE7" w14:paraId="4DDFCE7F" w14:textId="6FD577BC">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36,84</w:t>
            </w:r>
            <w:r w:rsidR="0022589D">
              <w:rPr>
                <w:rFonts w:ascii="Arial" w:hAnsi="Arial" w:cs="Arial"/>
                <w:color w:val="000000"/>
                <w:lang w:eastAsia="en-GB"/>
              </w:rPr>
              <w:t>5</w:t>
            </w:r>
          </w:p>
        </w:tc>
        <w:tc>
          <w:tcPr>
            <w:tcW w:w="1134" w:type="dxa"/>
          </w:tcPr>
          <w:p w:rsidRPr="003B0BE7" w:rsidR="00065BDD" w:rsidP="000C5406" w:rsidRDefault="003B0BE7" w14:paraId="603147E6" w14:textId="4920BF03">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41,57</w:t>
            </w:r>
            <w:r w:rsidR="0022589D">
              <w:rPr>
                <w:rFonts w:ascii="Arial" w:hAnsi="Arial" w:cs="Arial"/>
                <w:color w:val="000000"/>
                <w:lang w:eastAsia="en-GB"/>
              </w:rPr>
              <w:t>7</w:t>
            </w:r>
          </w:p>
        </w:tc>
        <w:tc>
          <w:tcPr>
            <w:tcW w:w="1275" w:type="dxa"/>
          </w:tcPr>
          <w:p w:rsidRPr="003B0BE7" w:rsidR="00065BDD" w:rsidP="000C5406" w:rsidRDefault="003B0BE7" w14:paraId="554D9E90" w14:textId="71A16BC2">
            <w:pPr>
              <w:rPr>
                <w:rFonts w:ascii="Arial" w:hAnsi="Arial" w:cs="Arial"/>
                <w:lang w:eastAsia="en-GB"/>
              </w:rPr>
            </w:pPr>
            <w:r>
              <w:rPr>
                <w:rFonts w:ascii="Arial" w:hAnsi="Arial" w:cs="Arial"/>
                <w:color w:val="000000"/>
                <w:lang w:eastAsia="en-GB"/>
              </w:rPr>
              <w:t>£</w:t>
            </w:r>
            <w:r w:rsidR="008C5169">
              <w:rPr>
                <w:rFonts w:ascii="Arial" w:hAnsi="Arial" w:cs="Arial"/>
                <w:color w:val="000000"/>
                <w:lang w:eastAsia="en-GB"/>
              </w:rPr>
              <w:t>47,444</w:t>
            </w:r>
          </w:p>
        </w:tc>
      </w:tr>
      <w:tr w:rsidRPr="00865223" w:rsidR="00065BDD" w:rsidTr="0022589D" w14:paraId="3FECB9A9" w14:textId="1DC8DE0B">
        <w:trPr>
          <w:trHeight w:val="340" w:hRule="exact"/>
        </w:trPr>
        <w:tc>
          <w:tcPr>
            <w:tcW w:w="567" w:type="dxa"/>
          </w:tcPr>
          <w:p w:rsidRPr="00865223" w:rsidR="00065BDD" w:rsidP="006510DD" w:rsidRDefault="00065BDD" w14:paraId="442C7576" w14:textId="1CC6BB99">
            <w:pPr>
              <w:rPr>
                <w:rFonts w:ascii="Arial" w:hAnsi="Arial" w:cs="Arial"/>
                <w:color w:val="000000" w:themeColor="text1"/>
                <w:lang w:eastAsia="en-GB"/>
              </w:rPr>
            </w:pPr>
            <w:r>
              <w:rPr>
                <w:rFonts w:ascii="Arial" w:hAnsi="Arial" w:cs="Arial"/>
                <w:color w:val="000000" w:themeColor="text1"/>
                <w:lang w:eastAsia="en-GB"/>
              </w:rPr>
              <w:t>8</w:t>
            </w:r>
          </w:p>
        </w:tc>
        <w:tc>
          <w:tcPr>
            <w:tcW w:w="1276" w:type="dxa"/>
          </w:tcPr>
          <w:p w:rsidRPr="00865223" w:rsidR="00065BDD" w:rsidP="006510DD" w:rsidRDefault="00065BDD" w14:paraId="21B8366E" w14:textId="7694475C">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31</w:t>
            </w:r>
            <w:r w:rsidR="000C5406">
              <w:rPr>
                <w:rFonts w:ascii="Arial" w:hAnsi="Arial" w:cs="Arial"/>
                <w:color w:val="000000"/>
                <w:lang w:eastAsia="en-GB"/>
              </w:rPr>
              <w:t>,</w:t>
            </w:r>
            <w:r w:rsidRPr="00657EA6" w:rsidR="000C5406">
              <w:rPr>
                <w:rFonts w:ascii="Arial" w:hAnsi="Arial" w:cs="Arial"/>
                <w:color w:val="000000"/>
                <w:lang w:eastAsia="en-GB"/>
              </w:rPr>
              <w:t>538</w:t>
            </w:r>
          </w:p>
        </w:tc>
        <w:tc>
          <w:tcPr>
            <w:tcW w:w="1134" w:type="dxa"/>
          </w:tcPr>
          <w:p w:rsidRPr="00865223" w:rsidR="00065BDD" w:rsidP="006510DD" w:rsidRDefault="00065BDD" w14:paraId="0D2693E1" w14:textId="31829E37">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35</w:t>
            </w:r>
            <w:r w:rsidR="000C5406">
              <w:rPr>
                <w:rFonts w:ascii="Arial" w:hAnsi="Arial" w:cs="Arial"/>
                <w:color w:val="000000"/>
                <w:lang w:eastAsia="en-GB"/>
              </w:rPr>
              <w:t>,</w:t>
            </w:r>
            <w:r w:rsidRPr="00657EA6" w:rsidR="000C5406">
              <w:rPr>
                <w:rFonts w:ascii="Arial" w:hAnsi="Arial" w:cs="Arial"/>
                <w:color w:val="000000"/>
                <w:lang w:eastAsia="en-GB"/>
              </w:rPr>
              <w:t>563</w:t>
            </w:r>
          </w:p>
        </w:tc>
        <w:tc>
          <w:tcPr>
            <w:tcW w:w="1134" w:type="dxa"/>
          </w:tcPr>
          <w:p w:rsidRPr="00865223" w:rsidR="00065BDD" w:rsidP="006510DD" w:rsidRDefault="00065BDD" w14:paraId="5C0B7DFA" w14:textId="7AFC7F51">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40</w:t>
            </w:r>
            <w:r w:rsidR="000C5406">
              <w:rPr>
                <w:rFonts w:ascii="Arial" w:hAnsi="Arial" w:cs="Arial"/>
                <w:color w:val="000000"/>
                <w:lang w:eastAsia="en-GB"/>
              </w:rPr>
              <w:t>,</w:t>
            </w:r>
            <w:r w:rsidRPr="00657EA6" w:rsidR="000C5406">
              <w:rPr>
                <w:rFonts w:ascii="Arial" w:hAnsi="Arial" w:cs="Arial"/>
                <w:color w:val="000000"/>
                <w:lang w:eastAsia="en-GB"/>
              </w:rPr>
              <w:t>394</w:t>
            </w:r>
          </w:p>
        </w:tc>
        <w:tc>
          <w:tcPr>
            <w:tcW w:w="283" w:type="dxa"/>
            <w:vMerge/>
          </w:tcPr>
          <w:p w:rsidRPr="00524F04" w:rsidR="00065BDD" w:rsidP="006510DD" w:rsidRDefault="00065BDD" w14:paraId="55C62672" w14:textId="77777777">
            <w:pPr>
              <w:jc w:val="center"/>
              <w:rPr>
                <w:rFonts w:ascii="Arial" w:hAnsi="Arial" w:cs="Arial"/>
                <w:color w:val="000000"/>
                <w:lang w:eastAsia="en-GB"/>
              </w:rPr>
            </w:pPr>
          </w:p>
        </w:tc>
        <w:tc>
          <w:tcPr>
            <w:tcW w:w="1418" w:type="dxa"/>
          </w:tcPr>
          <w:p w:rsidRPr="003B0BE7" w:rsidR="00065BDD" w:rsidP="000C5406" w:rsidRDefault="003B0BE7" w14:paraId="416395DB" w14:textId="6B2F59CF">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32,800</w:t>
            </w:r>
          </w:p>
        </w:tc>
        <w:tc>
          <w:tcPr>
            <w:tcW w:w="1134" w:type="dxa"/>
          </w:tcPr>
          <w:p w:rsidRPr="003B0BE7" w:rsidR="00065BDD" w:rsidP="000C5406" w:rsidRDefault="003B0BE7" w14:paraId="66A12FFE" w14:textId="0789CC61">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36,986</w:t>
            </w:r>
          </w:p>
        </w:tc>
        <w:tc>
          <w:tcPr>
            <w:tcW w:w="1275" w:type="dxa"/>
          </w:tcPr>
          <w:p w:rsidRPr="003B0BE7" w:rsidR="00065BDD" w:rsidP="000C5406" w:rsidRDefault="003B0BE7" w14:paraId="3DFB1CC5" w14:textId="12FD2D67">
            <w:pPr>
              <w:rPr>
                <w:rFonts w:ascii="Arial" w:hAnsi="Arial" w:cs="Arial"/>
                <w:lang w:eastAsia="en-GB"/>
              </w:rPr>
            </w:pPr>
            <w:r>
              <w:rPr>
                <w:rFonts w:ascii="Arial" w:hAnsi="Arial" w:cs="Arial"/>
                <w:color w:val="000000"/>
                <w:lang w:eastAsia="en-GB"/>
              </w:rPr>
              <w:t>£</w:t>
            </w:r>
            <w:r w:rsidR="008C5169">
              <w:rPr>
                <w:rFonts w:ascii="Arial" w:hAnsi="Arial" w:cs="Arial"/>
                <w:color w:val="000000"/>
                <w:lang w:eastAsia="en-GB"/>
              </w:rPr>
              <w:t>42,010</w:t>
            </w:r>
          </w:p>
        </w:tc>
      </w:tr>
      <w:tr w:rsidRPr="00865223" w:rsidR="00065BDD" w:rsidTr="0022589D" w14:paraId="2DCEA9FA" w14:textId="658B840F">
        <w:trPr>
          <w:trHeight w:val="340" w:hRule="exact"/>
        </w:trPr>
        <w:tc>
          <w:tcPr>
            <w:tcW w:w="567" w:type="dxa"/>
          </w:tcPr>
          <w:p w:rsidRPr="00865223" w:rsidR="00065BDD" w:rsidP="006510DD" w:rsidRDefault="00065BDD" w14:paraId="6C005C5A" w14:textId="48F70430">
            <w:pPr>
              <w:rPr>
                <w:rFonts w:ascii="Arial" w:hAnsi="Arial" w:cs="Arial"/>
                <w:color w:val="000000" w:themeColor="text1"/>
                <w:lang w:eastAsia="en-GB"/>
              </w:rPr>
            </w:pPr>
            <w:r>
              <w:rPr>
                <w:rFonts w:ascii="Arial" w:hAnsi="Arial" w:cs="Arial"/>
                <w:color w:val="000000" w:themeColor="text1"/>
                <w:lang w:eastAsia="en-GB"/>
              </w:rPr>
              <w:t>9</w:t>
            </w:r>
          </w:p>
        </w:tc>
        <w:tc>
          <w:tcPr>
            <w:tcW w:w="1276" w:type="dxa"/>
          </w:tcPr>
          <w:p w:rsidRPr="00865223" w:rsidR="00065BDD" w:rsidP="006510DD" w:rsidRDefault="00065BDD" w14:paraId="11CA4696" w14:textId="0D0DFBB1">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27</w:t>
            </w:r>
            <w:r w:rsidR="000C5406">
              <w:rPr>
                <w:rFonts w:ascii="Arial" w:hAnsi="Arial" w:cs="Arial"/>
                <w:color w:val="000000"/>
                <w:lang w:eastAsia="en-GB"/>
              </w:rPr>
              <w:t>,</w:t>
            </w:r>
            <w:r w:rsidRPr="00657EA6" w:rsidR="000C5406">
              <w:rPr>
                <w:rFonts w:ascii="Arial" w:hAnsi="Arial" w:cs="Arial"/>
                <w:color w:val="000000"/>
                <w:lang w:eastAsia="en-GB"/>
              </w:rPr>
              <w:t>979</w:t>
            </w:r>
          </w:p>
        </w:tc>
        <w:tc>
          <w:tcPr>
            <w:tcW w:w="1134" w:type="dxa"/>
          </w:tcPr>
          <w:p w:rsidRPr="00865223" w:rsidR="00065BDD" w:rsidP="006510DD" w:rsidRDefault="00065BDD" w14:paraId="399BCE72" w14:textId="6C7D6BFF">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31</w:t>
            </w:r>
            <w:r w:rsidR="000C5406">
              <w:rPr>
                <w:rFonts w:ascii="Arial" w:hAnsi="Arial" w:cs="Arial"/>
                <w:color w:val="000000"/>
                <w:lang w:eastAsia="en-GB"/>
              </w:rPr>
              <w:t>,</w:t>
            </w:r>
            <w:r w:rsidRPr="00657EA6" w:rsidR="000C5406">
              <w:rPr>
                <w:rFonts w:ascii="Arial" w:hAnsi="Arial" w:cs="Arial"/>
                <w:color w:val="000000"/>
                <w:lang w:eastAsia="en-GB"/>
              </w:rPr>
              <w:t>521</w:t>
            </w:r>
          </w:p>
        </w:tc>
        <w:tc>
          <w:tcPr>
            <w:tcW w:w="1134" w:type="dxa"/>
          </w:tcPr>
          <w:p w:rsidRPr="00865223" w:rsidR="00065BDD" w:rsidP="006510DD" w:rsidRDefault="00065BDD" w14:paraId="57C4A3D9" w14:textId="22A50668">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35</w:t>
            </w:r>
            <w:r w:rsidR="000C5406">
              <w:rPr>
                <w:rFonts w:ascii="Arial" w:hAnsi="Arial" w:cs="Arial"/>
                <w:color w:val="000000"/>
                <w:lang w:eastAsia="en-GB"/>
              </w:rPr>
              <w:t>,</w:t>
            </w:r>
            <w:r w:rsidRPr="00657EA6" w:rsidR="000C5406">
              <w:rPr>
                <w:rFonts w:ascii="Arial" w:hAnsi="Arial" w:cs="Arial"/>
                <w:color w:val="000000"/>
                <w:lang w:eastAsia="en-GB"/>
              </w:rPr>
              <w:t>682</w:t>
            </w:r>
          </w:p>
        </w:tc>
        <w:tc>
          <w:tcPr>
            <w:tcW w:w="283" w:type="dxa"/>
            <w:vMerge/>
          </w:tcPr>
          <w:p w:rsidRPr="00524F04" w:rsidR="00065BDD" w:rsidP="006510DD" w:rsidRDefault="00065BDD" w14:paraId="6517A101" w14:textId="77777777">
            <w:pPr>
              <w:jc w:val="center"/>
              <w:rPr>
                <w:rFonts w:ascii="Arial" w:hAnsi="Arial" w:cs="Arial"/>
                <w:color w:val="000000"/>
                <w:lang w:eastAsia="en-GB"/>
              </w:rPr>
            </w:pPr>
          </w:p>
        </w:tc>
        <w:tc>
          <w:tcPr>
            <w:tcW w:w="1418" w:type="dxa"/>
          </w:tcPr>
          <w:p w:rsidRPr="003B0BE7" w:rsidR="00065BDD" w:rsidP="000C5406" w:rsidRDefault="003B0BE7" w14:paraId="4AAAA6B1" w14:textId="37F7E7EC">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29,09</w:t>
            </w:r>
            <w:r w:rsidR="0022589D">
              <w:rPr>
                <w:rFonts w:ascii="Arial" w:hAnsi="Arial" w:cs="Arial"/>
                <w:color w:val="000000"/>
                <w:lang w:eastAsia="en-GB"/>
              </w:rPr>
              <w:t>9</w:t>
            </w:r>
          </w:p>
        </w:tc>
        <w:tc>
          <w:tcPr>
            <w:tcW w:w="1134" w:type="dxa"/>
          </w:tcPr>
          <w:p w:rsidRPr="003B0BE7" w:rsidR="00065BDD" w:rsidP="000C5406" w:rsidRDefault="003B0BE7" w14:paraId="3538DD69" w14:textId="1F11F185">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32,782</w:t>
            </w:r>
          </w:p>
        </w:tc>
        <w:tc>
          <w:tcPr>
            <w:tcW w:w="1275" w:type="dxa"/>
          </w:tcPr>
          <w:p w:rsidRPr="003B0BE7" w:rsidR="00065BDD" w:rsidP="000C5406" w:rsidRDefault="003B0BE7" w14:paraId="34563321" w14:textId="64116102">
            <w:pPr>
              <w:rPr>
                <w:rFonts w:ascii="Arial" w:hAnsi="Arial" w:cs="Arial"/>
                <w:lang w:eastAsia="en-GB"/>
              </w:rPr>
            </w:pPr>
            <w:r>
              <w:rPr>
                <w:rFonts w:ascii="Arial" w:hAnsi="Arial" w:cs="Arial"/>
                <w:color w:val="000000"/>
                <w:lang w:eastAsia="en-GB"/>
              </w:rPr>
              <w:t>£</w:t>
            </w:r>
            <w:r w:rsidR="0022589D">
              <w:rPr>
                <w:rFonts w:ascii="Arial" w:hAnsi="Arial" w:cs="Arial"/>
                <w:color w:val="000000"/>
                <w:lang w:eastAsia="en-GB"/>
              </w:rPr>
              <w:t>37,110</w:t>
            </w:r>
          </w:p>
        </w:tc>
      </w:tr>
      <w:tr w:rsidRPr="00865223" w:rsidR="00065BDD" w:rsidTr="0022589D" w14:paraId="0E9077AF" w14:textId="69F4403E">
        <w:trPr>
          <w:trHeight w:val="340" w:hRule="exact"/>
        </w:trPr>
        <w:tc>
          <w:tcPr>
            <w:tcW w:w="567" w:type="dxa"/>
          </w:tcPr>
          <w:p w:rsidRPr="00865223" w:rsidR="00065BDD" w:rsidP="006510DD" w:rsidRDefault="00065BDD" w14:paraId="06AFA8E3" w14:textId="49DEC997">
            <w:pPr>
              <w:rPr>
                <w:rFonts w:ascii="Arial" w:hAnsi="Arial" w:cs="Arial"/>
                <w:color w:val="000000" w:themeColor="text1"/>
                <w:lang w:eastAsia="en-GB"/>
              </w:rPr>
            </w:pPr>
            <w:r>
              <w:rPr>
                <w:rFonts w:ascii="Arial" w:hAnsi="Arial" w:cs="Arial"/>
                <w:color w:val="000000" w:themeColor="text1"/>
                <w:lang w:eastAsia="en-GB"/>
              </w:rPr>
              <w:t>10</w:t>
            </w:r>
          </w:p>
        </w:tc>
        <w:tc>
          <w:tcPr>
            <w:tcW w:w="1276" w:type="dxa"/>
          </w:tcPr>
          <w:p w:rsidRPr="00865223" w:rsidR="00065BDD" w:rsidP="006510DD" w:rsidRDefault="00065BDD" w14:paraId="33AA96AD" w14:textId="0746823C">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25</w:t>
            </w:r>
            <w:r w:rsidR="000C5406">
              <w:rPr>
                <w:rFonts w:ascii="Arial" w:hAnsi="Arial" w:cs="Arial"/>
                <w:color w:val="000000"/>
                <w:lang w:eastAsia="en-GB"/>
              </w:rPr>
              <w:t>,</w:t>
            </w:r>
            <w:r w:rsidRPr="00657EA6" w:rsidR="000C5406">
              <w:rPr>
                <w:rFonts w:ascii="Arial" w:hAnsi="Arial" w:cs="Arial"/>
                <w:color w:val="000000"/>
                <w:lang w:eastAsia="en-GB"/>
              </w:rPr>
              <w:t>155</w:t>
            </w:r>
          </w:p>
        </w:tc>
        <w:tc>
          <w:tcPr>
            <w:tcW w:w="1134" w:type="dxa"/>
          </w:tcPr>
          <w:p w:rsidRPr="00865223" w:rsidR="00065BDD" w:rsidP="006510DD" w:rsidRDefault="00065BDD" w14:paraId="25ECFE80" w14:textId="36FEEA13">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28</w:t>
            </w:r>
            <w:r w:rsidR="000C5406">
              <w:rPr>
                <w:rFonts w:ascii="Arial" w:hAnsi="Arial" w:cs="Arial"/>
                <w:color w:val="000000"/>
                <w:lang w:eastAsia="en-GB"/>
              </w:rPr>
              <w:t>,</w:t>
            </w:r>
            <w:r w:rsidRPr="00657EA6" w:rsidR="000C5406">
              <w:rPr>
                <w:rFonts w:ascii="Arial" w:hAnsi="Arial" w:cs="Arial"/>
                <w:color w:val="000000"/>
                <w:lang w:eastAsia="en-GB"/>
              </w:rPr>
              <w:t>017</w:t>
            </w:r>
          </w:p>
        </w:tc>
        <w:tc>
          <w:tcPr>
            <w:tcW w:w="1134" w:type="dxa"/>
          </w:tcPr>
          <w:p w:rsidRPr="00865223" w:rsidR="00065BDD" w:rsidP="006510DD" w:rsidRDefault="00065BDD" w14:paraId="723C4E30" w14:textId="6C66B02B">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31</w:t>
            </w:r>
            <w:r w:rsidR="000C5406">
              <w:rPr>
                <w:rFonts w:ascii="Arial" w:hAnsi="Arial" w:cs="Arial"/>
                <w:color w:val="000000"/>
                <w:lang w:eastAsia="en-GB"/>
              </w:rPr>
              <w:t>,</w:t>
            </w:r>
            <w:r w:rsidRPr="00657EA6" w:rsidR="000C5406">
              <w:rPr>
                <w:rFonts w:ascii="Arial" w:hAnsi="Arial" w:cs="Arial"/>
                <w:color w:val="000000"/>
                <w:lang w:eastAsia="en-GB"/>
              </w:rPr>
              <w:t>605</w:t>
            </w:r>
          </w:p>
        </w:tc>
        <w:tc>
          <w:tcPr>
            <w:tcW w:w="283" w:type="dxa"/>
            <w:vMerge/>
          </w:tcPr>
          <w:p w:rsidRPr="00524F04" w:rsidR="00065BDD" w:rsidP="006510DD" w:rsidRDefault="00065BDD" w14:paraId="50F81A5E" w14:textId="77777777">
            <w:pPr>
              <w:jc w:val="center"/>
              <w:rPr>
                <w:rFonts w:ascii="Arial" w:hAnsi="Arial" w:cs="Arial"/>
                <w:color w:val="000000"/>
                <w:lang w:eastAsia="en-GB"/>
              </w:rPr>
            </w:pPr>
          </w:p>
        </w:tc>
        <w:tc>
          <w:tcPr>
            <w:tcW w:w="1418" w:type="dxa"/>
          </w:tcPr>
          <w:p w:rsidRPr="003B0BE7" w:rsidR="00065BDD" w:rsidP="000C5406" w:rsidRDefault="003B0BE7" w14:paraId="4541C2BC" w14:textId="2C41DD6B">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26,16</w:t>
            </w:r>
            <w:r w:rsidR="0022589D">
              <w:rPr>
                <w:rFonts w:ascii="Arial" w:hAnsi="Arial" w:cs="Arial"/>
                <w:color w:val="000000"/>
                <w:lang w:eastAsia="en-GB"/>
              </w:rPr>
              <w:t>2</w:t>
            </w:r>
          </w:p>
        </w:tc>
        <w:tc>
          <w:tcPr>
            <w:tcW w:w="1134" w:type="dxa"/>
          </w:tcPr>
          <w:p w:rsidRPr="003B0BE7" w:rsidR="00065BDD" w:rsidP="000C5406" w:rsidRDefault="003B0BE7" w14:paraId="567C2984" w14:textId="270A3C26">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29,138</w:t>
            </w:r>
          </w:p>
        </w:tc>
        <w:tc>
          <w:tcPr>
            <w:tcW w:w="1275" w:type="dxa"/>
          </w:tcPr>
          <w:p w:rsidRPr="003B0BE7" w:rsidR="00065BDD" w:rsidP="000C5406" w:rsidRDefault="003B0BE7" w14:paraId="5A5180C2" w14:textId="155FD534">
            <w:pPr>
              <w:rPr>
                <w:rFonts w:ascii="Arial" w:hAnsi="Arial" w:cs="Arial"/>
                <w:lang w:eastAsia="en-GB"/>
              </w:rPr>
            </w:pPr>
            <w:r>
              <w:rPr>
                <w:rFonts w:ascii="Arial" w:hAnsi="Arial" w:cs="Arial"/>
                <w:color w:val="000000"/>
                <w:lang w:eastAsia="en-GB"/>
              </w:rPr>
              <w:t>£</w:t>
            </w:r>
            <w:r w:rsidR="0022589D">
              <w:rPr>
                <w:rFonts w:ascii="Arial" w:hAnsi="Arial" w:cs="Arial"/>
                <w:color w:val="000000"/>
                <w:lang w:eastAsia="en-GB"/>
              </w:rPr>
              <w:t>32,870</w:t>
            </w:r>
          </w:p>
        </w:tc>
      </w:tr>
      <w:tr w:rsidRPr="00865223" w:rsidR="00065BDD" w:rsidTr="0022589D" w14:paraId="660048CD" w14:textId="03C58472">
        <w:trPr>
          <w:trHeight w:val="340" w:hRule="exact"/>
        </w:trPr>
        <w:tc>
          <w:tcPr>
            <w:tcW w:w="567" w:type="dxa"/>
          </w:tcPr>
          <w:p w:rsidRPr="00865223" w:rsidR="00065BDD" w:rsidP="006510DD" w:rsidRDefault="00065BDD" w14:paraId="2269FB80" w14:textId="30E6EDCD">
            <w:pPr>
              <w:rPr>
                <w:rFonts w:ascii="Arial" w:hAnsi="Arial" w:cs="Arial"/>
                <w:color w:val="000000" w:themeColor="text1"/>
                <w:lang w:eastAsia="en-GB"/>
              </w:rPr>
            </w:pPr>
            <w:r>
              <w:rPr>
                <w:rFonts w:ascii="Arial" w:hAnsi="Arial" w:cs="Arial"/>
                <w:color w:val="000000" w:themeColor="text1"/>
                <w:lang w:eastAsia="en-GB"/>
              </w:rPr>
              <w:t>11</w:t>
            </w:r>
          </w:p>
        </w:tc>
        <w:tc>
          <w:tcPr>
            <w:tcW w:w="1276" w:type="dxa"/>
          </w:tcPr>
          <w:p w:rsidRPr="00865223" w:rsidR="00065BDD" w:rsidP="006510DD" w:rsidRDefault="00065BDD" w14:paraId="3DC5898C" w14:textId="3790C765">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22</w:t>
            </w:r>
            <w:r w:rsidR="000C5406">
              <w:rPr>
                <w:rFonts w:ascii="Arial" w:hAnsi="Arial" w:cs="Arial"/>
                <w:color w:val="000000"/>
                <w:lang w:eastAsia="en-GB"/>
              </w:rPr>
              <w:t>,</w:t>
            </w:r>
            <w:r w:rsidRPr="00657EA6" w:rsidR="000C5406">
              <w:rPr>
                <w:rFonts w:ascii="Arial" w:hAnsi="Arial" w:cs="Arial"/>
                <w:color w:val="000000"/>
                <w:lang w:eastAsia="en-GB"/>
              </w:rPr>
              <w:t>402</w:t>
            </w:r>
          </w:p>
        </w:tc>
        <w:tc>
          <w:tcPr>
            <w:tcW w:w="1134" w:type="dxa"/>
          </w:tcPr>
          <w:p w:rsidRPr="00865223" w:rsidR="00065BDD" w:rsidP="006510DD" w:rsidRDefault="00065BDD" w14:paraId="091E9A17" w14:textId="483E304D">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25</w:t>
            </w:r>
            <w:r w:rsidR="000C5406">
              <w:rPr>
                <w:rFonts w:ascii="Arial" w:hAnsi="Arial" w:cs="Arial"/>
                <w:color w:val="000000"/>
                <w:lang w:eastAsia="en-GB"/>
              </w:rPr>
              <w:t>,</w:t>
            </w:r>
            <w:r w:rsidRPr="00657EA6" w:rsidR="000C5406">
              <w:rPr>
                <w:rFonts w:ascii="Arial" w:hAnsi="Arial" w:cs="Arial"/>
                <w:color w:val="000000"/>
                <w:lang w:eastAsia="en-GB"/>
              </w:rPr>
              <w:t>147</w:t>
            </w:r>
          </w:p>
        </w:tc>
        <w:tc>
          <w:tcPr>
            <w:tcW w:w="1134" w:type="dxa"/>
          </w:tcPr>
          <w:p w:rsidRPr="00865223" w:rsidR="00065BDD" w:rsidP="006510DD" w:rsidRDefault="00065BDD" w14:paraId="7E0A237C" w14:textId="14CFE62C">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27</w:t>
            </w:r>
            <w:r w:rsidR="000C5406">
              <w:rPr>
                <w:rFonts w:ascii="Arial" w:hAnsi="Arial" w:cs="Arial"/>
                <w:color w:val="000000"/>
                <w:lang w:eastAsia="en-GB"/>
              </w:rPr>
              <w:t>,</w:t>
            </w:r>
            <w:r w:rsidRPr="00657EA6" w:rsidR="000C5406">
              <w:rPr>
                <w:rFonts w:ascii="Arial" w:hAnsi="Arial" w:cs="Arial"/>
                <w:color w:val="000000"/>
                <w:lang w:eastAsia="en-GB"/>
              </w:rPr>
              <w:t>976</w:t>
            </w:r>
          </w:p>
        </w:tc>
        <w:tc>
          <w:tcPr>
            <w:tcW w:w="283" w:type="dxa"/>
            <w:vMerge/>
          </w:tcPr>
          <w:p w:rsidRPr="00524F04" w:rsidR="00065BDD" w:rsidP="006510DD" w:rsidRDefault="00065BDD" w14:paraId="1814F158" w14:textId="77777777">
            <w:pPr>
              <w:jc w:val="center"/>
              <w:rPr>
                <w:rFonts w:ascii="Arial" w:hAnsi="Arial" w:cs="Arial"/>
                <w:color w:val="000000"/>
                <w:lang w:eastAsia="en-GB"/>
              </w:rPr>
            </w:pPr>
          </w:p>
        </w:tc>
        <w:tc>
          <w:tcPr>
            <w:tcW w:w="1418" w:type="dxa"/>
          </w:tcPr>
          <w:p w:rsidRPr="003B0BE7" w:rsidR="00065BDD" w:rsidP="000C5406" w:rsidRDefault="003B0BE7" w14:paraId="3C287FD5" w14:textId="688995D3">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23,29</w:t>
            </w:r>
            <w:r w:rsidR="0022589D">
              <w:rPr>
                <w:rFonts w:ascii="Arial" w:hAnsi="Arial" w:cs="Arial"/>
                <w:color w:val="000000"/>
                <w:lang w:eastAsia="en-GB"/>
              </w:rPr>
              <w:t>9</w:t>
            </w:r>
          </w:p>
        </w:tc>
        <w:tc>
          <w:tcPr>
            <w:tcW w:w="1134" w:type="dxa"/>
          </w:tcPr>
          <w:p w:rsidRPr="003B0BE7" w:rsidR="00065BDD" w:rsidP="000C5406" w:rsidRDefault="003B0BE7" w14:paraId="793C4DEE" w14:textId="79BEC491">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26,153</w:t>
            </w:r>
          </w:p>
        </w:tc>
        <w:tc>
          <w:tcPr>
            <w:tcW w:w="1275" w:type="dxa"/>
          </w:tcPr>
          <w:p w:rsidRPr="003B0BE7" w:rsidR="00065BDD" w:rsidP="000C5406" w:rsidRDefault="003B0BE7" w14:paraId="4B76C774" w14:textId="3706F35D">
            <w:pPr>
              <w:rPr>
                <w:rFonts w:ascii="Arial" w:hAnsi="Arial" w:cs="Arial"/>
                <w:lang w:eastAsia="en-GB"/>
              </w:rPr>
            </w:pPr>
            <w:r>
              <w:rPr>
                <w:rFonts w:ascii="Arial" w:hAnsi="Arial" w:cs="Arial"/>
                <w:color w:val="000000"/>
                <w:lang w:eastAsia="en-GB"/>
              </w:rPr>
              <w:t>£</w:t>
            </w:r>
            <w:r w:rsidR="008C5169">
              <w:rPr>
                <w:rFonts w:ascii="Arial" w:hAnsi="Arial" w:cs="Arial"/>
                <w:color w:val="000000"/>
                <w:lang w:eastAsia="en-GB"/>
              </w:rPr>
              <w:t>29,09</w:t>
            </w:r>
            <w:r w:rsidR="009B79E8">
              <w:rPr>
                <w:rFonts w:ascii="Arial" w:hAnsi="Arial" w:cs="Arial"/>
                <w:color w:val="000000"/>
                <w:lang w:eastAsia="en-GB"/>
              </w:rPr>
              <w:t>6</w:t>
            </w:r>
          </w:p>
        </w:tc>
      </w:tr>
      <w:tr w:rsidRPr="00865223" w:rsidR="00065BDD" w:rsidTr="0022589D" w14:paraId="65781B74" w14:textId="26CE9644">
        <w:trPr>
          <w:trHeight w:val="340" w:hRule="exact"/>
        </w:trPr>
        <w:tc>
          <w:tcPr>
            <w:tcW w:w="567" w:type="dxa"/>
          </w:tcPr>
          <w:p w:rsidRPr="00865223" w:rsidR="00065BDD" w:rsidP="006510DD" w:rsidRDefault="00065BDD" w14:paraId="1B653DCD" w14:textId="5E19B49A">
            <w:pPr>
              <w:rPr>
                <w:rFonts w:ascii="Arial" w:hAnsi="Arial" w:cs="Arial"/>
                <w:color w:val="000000" w:themeColor="text1"/>
                <w:lang w:eastAsia="en-GB"/>
              </w:rPr>
            </w:pPr>
            <w:r>
              <w:rPr>
                <w:rFonts w:ascii="Arial" w:hAnsi="Arial" w:cs="Arial"/>
                <w:color w:val="000000" w:themeColor="text1"/>
                <w:lang w:eastAsia="en-GB"/>
              </w:rPr>
              <w:t>12</w:t>
            </w:r>
          </w:p>
        </w:tc>
        <w:tc>
          <w:tcPr>
            <w:tcW w:w="1276" w:type="dxa"/>
          </w:tcPr>
          <w:p w:rsidRPr="00865223" w:rsidR="00065BDD" w:rsidP="008C5169" w:rsidRDefault="000C5406" w14:paraId="3113EC4B" w14:textId="46B9F6C0">
            <w:pPr>
              <w:rPr>
                <w:rFonts w:ascii="Arial" w:hAnsi="Arial" w:cs="Arial"/>
                <w:lang w:eastAsia="en-GB"/>
              </w:rPr>
            </w:pPr>
            <w:r w:rsidRPr="00846115">
              <w:rPr>
                <w:rFonts w:ascii="Arial" w:hAnsi="Arial" w:cs="Arial"/>
                <w:b/>
                <w:color w:val="000000"/>
                <w:sz w:val="20"/>
                <w:szCs w:val="20"/>
                <w:lang w:eastAsia="en-GB"/>
              </w:rPr>
              <w:t xml:space="preserve"> </w:t>
            </w:r>
            <w:r w:rsidR="008C5169">
              <w:rPr>
                <w:rFonts w:ascii="Arial" w:hAnsi="Arial" w:cs="Arial"/>
                <w:b/>
                <w:color w:val="000000"/>
                <w:sz w:val="20"/>
                <w:szCs w:val="20"/>
                <w:lang w:eastAsia="en-GB"/>
              </w:rPr>
              <w:t>Removed</w:t>
            </w:r>
          </w:p>
        </w:tc>
        <w:tc>
          <w:tcPr>
            <w:tcW w:w="1134" w:type="dxa"/>
          </w:tcPr>
          <w:p w:rsidRPr="00865223" w:rsidR="00065BDD" w:rsidP="006510DD" w:rsidRDefault="00065BDD" w14:paraId="56269B2A" w14:textId="15B06685">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22</w:t>
            </w:r>
            <w:r w:rsidR="000C5406">
              <w:rPr>
                <w:rFonts w:ascii="Arial" w:hAnsi="Arial" w:cs="Arial"/>
                <w:color w:val="000000"/>
                <w:lang w:eastAsia="en-GB"/>
              </w:rPr>
              <w:t>,</w:t>
            </w:r>
            <w:r w:rsidRPr="00657EA6" w:rsidR="000C5406">
              <w:rPr>
                <w:rFonts w:ascii="Arial" w:hAnsi="Arial" w:cs="Arial"/>
                <w:color w:val="000000"/>
                <w:lang w:eastAsia="en-GB"/>
              </w:rPr>
              <w:t>402</w:t>
            </w:r>
          </w:p>
        </w:tc>
        <w:tc>
          <w:tcPr>
            <w:tcW w:w="1134" w:type="dxa"/>
          </w:tcPr>
          <w:p w:rsidRPr="00865223" w:rsidR="00065BDD" w:rsidP="006510DD" w:rsidRDefault="00065BDD" w14:paraId="162A07C0" w14:textId="2B59AEF8">
            <w:pPr>
              <w:jc w:val="center"/>
              <w:rPr>
                <w:rFonts w:ascii="Arial" w:hAnsi="Arial" w:cs="Arial"/>
                <w:lang w:eastAsia="en-GB"/>
              </w:rPr>
            </w:pPr>
            <w:r w:rsidRPr="00524F04">
              <w:rPr>
                <w:rFonts w:ascii="Arial" w:hAnsi="Arial" w:cs="Arial"/>
                <w:color w:val="000000"/>
                <w:lang w:eastAsia="en-GB"/>
              </w:rPr>
              <w:t>£</w:t>
            </w:r>
            <w:r w:rsidRPr="00657EA6" w:rsidR="000C5406">
              <w:rPr>
                <w:rFonts w:ascii="Arial" w:hAnsi="Arial" w:cs="Arial"/>
                <w:color w:val="000000"/>
                <w:lang w:eastAsia="en-GB"/>
              </w:rPr>
              <w:t>25</w:t>
            </w:r>
            <w:r w:rsidR="000C5406">
              <w:rPr>
                <w:rFonts w:ascii="Arial" w:hAnsi="Arial" w:cs="Arial"/>
                <w:color w:val="000000"/>
                <w:lang w:eastAsia="en-GB"/>
              </w:rPr>
              <w:t>,</w:t>
            </w:r>
            <w:r w:rsidRPr="00657EA6" w:rsidR="000C5406">
              <w:rPr>
                <w:rFonts w:ascii="Arial" w:hAnsi="Arial" w:cs="Arial"/>
                <w:color w:val="000000"/>
                <w:lang w:eastAsia="en-GB"/>
              </w:rPr>
              <w:t>058</w:t>
            </w:r>
          </w:p>
        </w:tc>
        <w:tc>
          <w:tcPr>
            <w:tcW w:w="283" w:type="dxa"/>
            <w:vMerge/>
          </w:tcPr>
          <w:p w:rsidRPr="00524F04" w:rsidR="00065BDD" w:rsidP="006510DD" w:rsidRDefault="00065BDD" w14:paraId="786D58E5" w14:textId="77777777">
            <w:pPr>
              <w:jc w:val="center"/>
              <w:rPr>
                <w:rFonts w:ascii="Arial" w:hAnsi="Arial" w:cs="Arial"/>
                <w:color w:val="000000"/>
                <w:lang w:eastAsia="en-GB"/>
              </w:rPr>
            </w:pPr>
          </w:p>
        </w:tc>
        <w:tc>
          <w:tcPr>
            <w:tcW w:w="1418" w:type="dxa"/>
          </w:tcPr>
          <w:p w:rsidRPr="00846115" w:rsidR="00065BDD" w:rsidP="00D44088" w:rsidRDefault="008C5169" w14:paraId="03842E3E" w14:textId="79F1136A">
            <w:pPr>
              <w:rPr>
                <w:rFonts w:ascii="Arial" w:hAnsi="Arial" w:cs="Arial"/>
                <w:b/>
                <w:color w:val="000000"/>
                <w:lang w:eastAsia="en-GB"/>
              </w:rPr>
            </w:pPr>
            <w:r w:rsidRPr="008C5169">
              <w:rPr>
                <w:rFonts w:ascii="Arial" w:hAnsi="Arial" w:cs="Arial"/>
                <w:b/>
                <w:color w:val="000000"/>
                <w:sz w:val="20"/>
                <w:szCs w:val="20"/>
                <w:lang w:eastAsia="en-GB"/>
              </w:rPr>
              <w:t>Removed</w:t>
            </w:r>
          </w:p>
        </w:tc>
        <w:tc>
          <w:tcPr>
            <w:tcW w:w="1134" w:type="dxa"/>
          </w:tcPr>
          <w:p w:rsidRPr="003B0BE7" w:rsidR="00065BDD" w:rsidP="000C5406" w:rsidRDefault="003B0BE7" w14:paraId="5A61A39C" w14:textId="648BBBAA">
            <w:pPr>
              <w:rPr>
                <w:rFonts w:ascii="Arial" w:hAnsi="Arial" w:cs="Arial"/>
                <w:color w:val="000000"/>
                <w:lang w:eastAsia="en-GB"/>
              </w:rPr>
            </w:pPr>
            <w:r>
              <w:rPr>
                <w:rFonts w:ascii="Arial" w:hAnsi="Arial" w:cs="Arial"/>
                <w:color w:val="000000"/>
                <w:lang w:eastAsia="en-GB"/>
              </w:rPr>
              <w:t>£</w:t>
            </w:r>
            <w:r w:rsidR="008C5169">
              <w:rPr>
                <w:rFonts w:ascii="Arial" w:hAnsi="Arial" w:cs="Arial"/>
                <w:color w:val="000000"/>
                <w:lang w:eastAsia="en-GB"/>
              </w:rPr>
              <w:t>23,29</w:t>
            </w:r>
            <w:r w:rsidR="0022589D">
              <w:rPr>
                <w:rFonts w:ascii="Arial" w:hAnsi="Arial" w:cs="Arial"/>
                <w:color w:val="000000"/>
                <w:lang w:eastAsia="en-GB"/>
              </w:rPr>
              <w:t>9</w:t>
            </w:r>
          </w:p>
        </w:tc>
        <w:tc>
          <w:tcPr>
            <w:tcW w:w="1275" w:type="dxa"/>
          </w:tcPr>
          <w:p w:rsidRPr="003B0BE7" w:rsidR="00065BDD" w:rsidP="000C5406" w:rsidRDefault="003B0BE7" w14:paraId="5E678279" w14:textId="73082676">
            <w:pPr>
              <w:rPr>
                <w:rFonts w:ascii="Arial" w:hAnsi="Arial" w:cs="Arial"/>
                <w:lang w:eastAsia="en-GB"/>
              </w:rPr>
            </w:pPr>
            <w:r>
              <w:rPr>
                <w:rFonts w:ascii="Arial" w:hAnsi="Arial" w:cs="Arial"/>
                <w:color w:val="000000"/>
                <w:lang w:eastAsia="en-GB"/>
              </w:rPr>
              <w:t>£</w:t>
            </w:r>
            <w:r w:rsidR="008C5169">
              <w:rPr>
                <w:rFonts w:ascii="Arial" w:hAnsi="Arial" w:cs="Arial"/>
                <w:color w:val="000000"/>
                <w:lang w:eastAsia="en-GB"/>
              </w:rPr>
              <w:t>26,06</w:t>
            </w:r>
            <w:r w:rsidR="0022589D">
              <w:rPr>
                <w:rFonts w:ascii="Arial" w:hAnsi="Arial" w:cs="Arial"/>
                <w:color w:val="000000"/>
                <w:lang w:eastAsia="en-GB"/>
              </w:rPr>
              <w:t>1</w:t>
            </w:r>
          </w:p>
        </w:tc>
      </w:tr>
    </w:tbl>
    <w:p w:rsidR="00220763" w:rsidP="007C5C4A" w:rsidRDefault="00220763" w14:paraId="4BC20EA7" w14:textId="05A6C695">
      <w:pPr>
        <w:shd w:val="clear" w:color="auto" w:fill="FFFFFF"/>
        <w:spacing w:line="360" w:lineRule="atLeast"/>
        <w:rPr>
          <w:rFonts w:ascii="Arial" w:hAnsi="Arial" w:cs="Arial"/>
          <w:color w:val="000000" w:themeColor="text1"/>
        </w:rPr>
      </w:pPr>
    </w:p>
    <w:p w:rsidRPr="007A69FA" w:rsidR="00C324BF" w:rsidP="007C5C4A" w:rsidRDefault="00C324BF" w14:paraId="6A1CFA66" w14:textId="77777777">
      <w:pPr>
        <w:shd w:val="clear" w:color="auto" w:fill="FFFFFF"/>
        <w:spacing w:line="360" w:lineRule="atLeast"/>
        <w:rPr>
          <w:rFonts w:ascii="Arial" w:hAnsi="Arial" w:cs="Arial"/>
          <w:color w:val="000000" w:themeColor="text1"/>
        </w:rPr>
      </w:pPr>
    </w:p>
    <w:p w:rsidR="00065BDD" w:rsidP="00526F50" w:rsidRDefault="00364D3D" w14:paraId="05DAB6ED" w14:textId="184AB8B1">
      <w:pPr>
        <w:ind w:left="851" w:hanging="851"/>
        <w:rPr>
          <w:rFonts w:ascii="Arial" w:hAnsi="Arial" w:cs="Arial"/>
          <w:color w:val="000000" w:themeColor="text1"/>
        </w:rPr>
      </w:pPr>
      <w:r w:rsidRPr="007A69FA">
        <w:rPr>
          <w:rFonts w:ascii="Arial" w:hAnsi="Arial" w:cs="Arial"/>
          <w:color w:val="000000" w:themeColor="text1"/>
        </w:rPr>
        <w:t>5.3</w:t>
      </w:r>
      <w:r w:rsidRPr="007A69FA">
        <w:rPr>
          <w:rFonts w:ascii="Arial" w:hAnsi="Arial" w:cs="Arial"/>
          <w:color w:val="000000" w:themeColor="text1"/>
        </w:rPr>
        <w:tab/>
      </w:r>
      <w:r w:rsidR="003349A9">
        <w:rPr>
          <w:rFonts w:ascii="Arial" w:hAnsi="Arial" w:cs="Arial"/>
          <w:color w:val="000000" w:themeColor="text1"/>
        </w:rPr>
        <w:t>There is a separate pay-scale applying to all site based staff in the Street Scene Service set out in Table F below:</w:t>
      </w:r>
      <w:r w:rsidR="003349A9">
        <w:rPr>
          <w:rFonts w:ascii="Arial" w:hAnsi="Arial" w:cs="Arial"/>
          <w:color w:val="000000" w:themeColor="text1"/>
        </w:rPr>
        <w:br/>
      </w:r>
    </w:p>
    <w:tbl>
      <w:tblPr>
        <w:tblStyle w:val="TableGrid"/>
        <w:tblW w:w="8075" w:type="dxa"/>
        <w:tblInd w:w="851" w:type="dxa"/>
        <w:tblLook w:val="04A0" w:firstRow="1" w:lastRow="0" w:firstColumn="1" w:lastColumn="0" w:noHBand="0" w:noVBand="1"/>
      </w:tblPr>
      <w:tblGrid>
        <w:gridCol w:w="884"/>
        <w:gridCol w:w="1720"/>
        <w:gridCol w:w="1480"/>
        <w:gridCol w:w="232"/>
        <w:gridCol w:w="1792"/>
        <w:gridCol w:w="1967"/>
      </w:tblGrid>
      <w:tr w:rsidR="00065BDD" w:rsidTr="00065BDD" w14:paraId="2E226D68" w14:textId="77777777">
        <w:tc>
          <w:tcPr>
            <w:tcW w:w="8075" w:type="dxa"/>
            <w:gridSpan w:val="6"/>
          </w:tcPr>
          <w:p w:rsidRPr="00065BDD" w:rsidR="00065BDD" w:rsidP="009707AF" w:rsidRDefault="00065BDD" w14:paraId="3B32FD0B" w14:textId="449E34EC">
            <w:pPr>
              <w:jc w:val="both"/>
              <w:rPr>
                <w:rFonts w:ascii="Arial" w:hAnsi="Arial" w:cs="Arial"/>
                <w:b/>
                <w:color w:val="000000" w:themeColor="text1"/>
              </w:rPr>
            </w:pPr>
            <w:r w:rsidRPr="00065BDD">
              <w:rPr>
                <w:rFonts w:ascii="Arial" w:hAnsi="Arial" w:cs="Arial"/>
                <w:b/>
                <w:color w:val="000000" w:themeColor="text1"/>
              </w:rPr>
              <w:t>TABLE F – Street Scene Services Site Based Staff Pay-scale</w:t>
            </w:r>
          </w:p>
        </w:tc>
      </w:tr>
      <w:tr w:rsidR="00065BDD" w:rsidTr="00065BDD" w14:paraId="03ECE0C6" w14:textId="77777777">
        <w:tc>
          <w:tcPr>
            <w:tcW w:w="884" w:type="dxa"/>
          </w:tcPr>
          <w:p w:rsidR="00065BDD" w:rsidP="009707AF" w:rsidRDefault="00065BDD" w14:paraId="3DCFCC1D" w14:textId="77777777">
            <w:pPr>
              <w:jc w:val="both"/>
              <w:rPr>
                <w:rFonts w:ascii="Arial" w:hAnsi="Arial" w:cs="Arial"/>
                <w:color w:val="000000" w:themeColor="text1"/>
              </w:rPr>
            </w:pPr>
          </w:p>
        </w:tc>
        <w:tc>
          <w:tcPr>
            <w:tcW w:w="3200" w:type="dxa"/>
            <w:gridSpan w:val="2"/>
          </w:tcPr>
          <w:p w:rsidR="00065BDD" w:rsidP="009707AF" w:rsidRDefault="00065BDD" w14:paraId="246400B8" w14:textId="70374379">
            <w:pPr>
              <w:jc w:val="both"/>
              <w:rPr>
                <w:rFonts w:ascii="Arial" w:hAnsi="Arial" w:cs="Arial"/>
                <w:color w:val="000000" w:themeColor="text1"/>
              </w:rPr>
            </w:pPr>
            <w:r>
              <w:rPr>
                <w:rFonts w:ascii="Arial" w:hAnsi="Arial" w:cs="Arial"/>
                <w:color w:val="000000" w:themeColor="text1"/>
              </w:rPr>
              <w:t>202</w:t>
            </w:r>
            <w:r w:rsidR="000C5406">
              <w:rPr>
                <w:rFonts w:ascii="Arial" w:hAnsi="Arial" w:cs="Arial"/>
                <w:color w:val="000000" w:themeColor="text1"/>
              </w:rPr>
              <w:t>3</w:t>
            </w:r>
            <w:r>
              <w:rPr>
                <w:rFonts w:ascii="Arial" w:hAnsi="Arial" w:cs="Arial"/>
                <w:color w:val="000000" w:themeColor="text1"/>
              </w:rPr>
              <w:t>/202</w:t>
            </w:r>
            <w:r w:rsidR="000C5406">
              <w:rPr>
                <w:rFonts w:ascii="Arial" w:hAnsi="Arial" w:cs="Arial"/>
                <w:color w:val="000000" w:themeColor="text1"/>
              </w:rPr>
              <w:t>4</w:t>
            </w:r>
          </w:p>
        </w:tc>
        <w:tc>
          <w:tcPr>
            <w:tcW w:w="232" w:type="dxa"/>
            <w:vMerge w:val="restart"/>
          </w:tcPr>
          <w:p w:rsidR="00065BDD" w:rsidP="009707AF" w:rsidRDefault="00065BDD" w14:paraId="2B7C65F1" w14:textId="77777777">
            <w:pPr>
              <w:jc w:val="both"/>
              <w:rPr>
                <w:rFonts w:ascii="Arial" w:hAnsi="Arial" w:cs="Arial"/>
                <w:color w:val="000000" w:themeColor="text1"/>
              </w:rPr>
            </w:pPr>
          </w:p>
        </w:tc>
        <w:tc>
          <w:tcPr>
            <w:tcW w:w="3759" w:type="dxa"/>
            <w:gridSpan w:val="2"/>
          </w:tcPr>
          <w:p w:rsidR="00065BDD" w:rsidP="009F3655" w:rsidRDefault="00065BDD" w14:paraId="1392DB1F" w14:textId="685A867D">
            <w:pPr>
              <w:rPr>
                <w:rFonts w:ascii="Arial" w:hAnsi="Arial" w:cs="Arial"/>
                <w:color w:val="000000" w:themeColor="text1"/>
              </w:rPr>
            </w:pPr>
            <w:r>
              <w:rPr>
                <w:rFonts w:ascii="Arial" w:hAnsi="Arial" w:cs="Arial"/>
                <w:color w:val="000000" w:themeColor="text1"/>
              </w:rPr>
              <w:t>202</w:t>
            </w:r>
            <w:r w:rsidR="000C5406">
              <w:rPr>
                <w:rFonts w:ascii="Arial" w:hAnsi="Arial" w:cs="Arial"/>
                <w:color w:val="000000" w:themeColor="text1"/>
              </w:rPr>
              <w:t>4</w:t>
            </w:r>
            <w:r>
              <w:rPr>
                <w:rFonts w:ascii="Arial" w:hAnsi="Arial" w:cs="Arial"/>
                <w:color w:val="000000" w:themeColor="text1"/>
              </w:rPr>
              <w:t>/202</w:t>
            </w:r>
            <w:r w:rsidR="000C5406">
              <w:rPr>
                <w:rFonts w:ascii="Arial" w:hAnsi="Arial" w:cs="Arial"/>
                <w:color w:val="000000" w:themeColor="text1"/>
              </w:rPr>
              <w:t>5</w:t>
            </w:r>
            <w:r w:rsidR="009778D7">
              <w:rPr>
                <w:rFonts w:ascii="Arial" w:hAnsi="Arial" w:cs="Arial"/>
                <w:color w:val="000000" w:themeColor="text1"/>
              </w:rPr>
              <w:t xml:space="preserve"> </w:t>
            </w:r>
            <w:bookmarkStart w:name="_GoBack" w:id="0"/>
            <w:bookmarkEnd w:id="0"/>
          </w:p>
        </w:tc>
      </w:tr>
      <w:tr w:rsidR="00065BDD" w:rsidTr="00065BDD" w14:paraId="621AB402" w14:textId="77777777">
        <w:tc>
          <w:tcPr>
            <w:tcW w:w="884" w:type="dxa"/>
          </w:tcPr>
          <w:p w:rsidR="00065BDD" w:rsidP="009707AF" w:rsidRDefault="00065BDD" w14:paraId="79CC0386" w14:textId="688ECCCB">
            <w:pPr>
              <w:jc w:val="both"/>
              <w:rPr>
                <w:rFonts w:ascii="Arial" w:hAnsi="Arial" w:cs="Arial"/>
                <w:color w:val="000000" w:themeColor="text1"/>
              </w:rPr>
            </w:pPr>
            <w:r>
              <w:rPr>
                <w:rFonts w:ascii="Arial" w:hAnsi="Arial" w:cs="Arial"/>
                <w:color w:val="000000" w:themeColor="text1"/>
              </w:rPr>
              <w:t>Grade</w:t>
            </w:r>
          </w:p>
        </w:tc>
        <w:tc>
          <w:tcPr>
            <w:tcW w:w="1720" w:type="dxa"/>
          </w:tcPr>
          <w:p w:rsidR="00065BDD" w:rsidP="009707AF" w:rsidRDefault="00065BDD" w14:paraId="22B0163B" w14:textId="4BEBCDE9">
            <w:pPr>
              <w:jc w:val="both"/>
              <w:rPr>
                <w:rFonts w:ascii="Arial" w:hAnsi="Arial" w:cs="Arial"/>
                <w:color w:val="000000" w:themeColor="text1"/>
              </w:rPr>
            </w:pPr>
            <w:r>
              <w:rPr>
                <w:rFonts w:ascii="Arial" w:hAnsi="Arial" w:cs="Arial"/>
                <w:color w:val="000000" w:themeColor="text1"/>
              </w:rPr>
              <w:t>Spot salary on appointment</w:t>
            </w:r>
          </w:p>
        </w:tc>
        <w:tc>
          <w:tcPr>
            <w:tcW w:w="1480" w:type="dxa"/>
          </w:tcPr>
          <w:p w:rsidR="00065BDD" w:rsidP="00065BDD" w:rsidRDefault="00065BDD" w14:paraId="5851944C" w14:textId="7F2B67C8">
            <w:pPr>
              <w:rPr>
                <w:rFonts w:ascii="Arial" w:hAnsi="Arial" w:cs="Arial"/>
                <w:color w:val="000000" w:themeColor="text1"/>
              </w:rPr>
            </w:pPr>
            <w:r>
              <w:rPr>
                <w:rFonts w:ascii="Arial" w:hAnsi="Arial" w:cs="Arial"/>
                <w:color w:val="000000" w:themeColor="text1"/>
              </w:rPr>
              <w:t>Spot salary after 12 months successful service</w:t>
            </w:r>
          </w:p>
        </w:tc>
        <w:tc>
          <w:tcPr>
            <w:tcW w:w="232" w:type="dxa"/>
            <w:vMerge/>
          </w:tcPr>
          <w:p w:rsidR="00065BDD" w:rsidP="009707AF" w:rsidRDefault="00065BDD" w14:paraId="4CB310A9" w14:textId="77777777">
            <w:pPr>
              <w:jc w:val="both"/>
              <w:rPr>
                <w:rFonts w:ascii="Arial" w:hAnsi="Arial" w:cs="Arial"/>
                <w:color w:val="000000" w:themeColor="text1"/>
              </w:rPr>
            </w:pPr>
          </w:p>
        </w:tc>
        <w:tc>
          <w:tcPr>
            <w:tcW w:w="1792" w:type="dxa"/>
          </w:tcPr>
          <w:p w:rsidR="00065BDD" w:rsidP="009707AF" w:rsidRDefault="00065BDD" w14:paraId="0C92F033" w14:textId="1A7CE4C4">
            <w:pPr>
              <w:jc w:val="both"/>
              <w:rPr>
                <w:rFonts w:ascii="Arial" w:hAnsi="Arial" w:cs="Arial"/>
                <w:color w:val="000000" w:themeColor="text1"/>
              </w:rPr>
            </w:pPr>
            <w:r>
              <w:rPr>
                <w:rFonts w:ascii="Arial" w:hAnsi="Arial" w:cs="Arial"/>
                <w:color w:val="000000" w:themeColor="text1"/>
              </w:rPr>
              <w:t>Spot salary on appointment</w:t>
            </w:r>
          </w:p>
        </w:tc>
        <w:tc>
          <w:tcPr>
            <w:tcW w:w="1967" w:type="dxa"/>
          </w:tcPr>
          <w:p w:rsidR="00065BDD" w:rsidP="00065BDD" w:rsidRDefault="00065BDD" w14:paraId="7C158EF8" w14:textId="508A48AC">
            <w:pPr>
              <w:rPr>
                <w:rFonts w:ascii="Arial" w:hAnsi="Arial" w:cs="Arial"/>
                <w:color w:val="000000" w:themeColor="text1"/>
              </w:rPr>
            </w:pPr>
            <w:r>
              <w:rPr>
                <w:rFonts w:ascii="Arial" w:hAnsi="Arial" w:cs="Arial"/>
                <w:color w:val="000000" w:themeColor="text1"/>
              </w:rPr>
              <w:t>Spot salary after 12 months successful service</w:t>
            </w:r>
          </w:p>
        </w:tc>
      </w:tr>
      <w:tr w:rsidR="00065BDD" w:rsidTr="00065BDD" w14:paraId="61CFB0AF" w14:textId="77777777">
        <w:tc>
          <w:tcPr>
            <w:tcW w:w="884" w:type="dxa"/>
          </w:tcPr>
          <w:p w:rsidR="00065BDD" w:rsidP="009707AF" w:rsidRDefault="00065BDD" w14:paraId="35788A91" w14:textId="243B29A4">
            <w:pPr>
              <w:jc w:val="both"/>
              <w:rPr>
                <w:rFonts w:ascii="Arial" w:hAnsi="Arial" w:cs="Arial"/>
                <w:color w:val="000000" w:themeColor="text1"/>
              </w:rPr>
            </w:pPr>
            <w:r>
              <w:rPr>
                <w:rFonts w:ascii="Arial" w:hAnsi="Arial" w:cs="Arial"/>
                <w:color w:val="000000" w:themeColor="text1"/>
              </w:rPr>
              <w:t>10 A</w:t>
            </w:r>
          </w:p>
        </w:tc>
        <w:tc>
          <w:tcPr>
            <w:tcW w:w="1720" w:type="dxa"/>
          </w:tcPr>
          <w:p w:rsidRPr="003A30B5" w:rsidR="00065BDD" w:rsidP="009707AF" w:rsidRDefault="00065BDD" w14:paraId="6C68AE58" w14:textId="40212B9E">
            <w:pPr>
              <w:jc w:val="both"/>
              <w:rPr>
                <w:rFonts w:ascii="Arial" w:hAnsi="Arial" w:cs="Arial"/>
                <w:color w:val="000000" w:themeColor="text1"/>
              </w:rPr>
            </w:pPr>
            <w:r w:rsidRPr="00065BDD">
              <w:rPr>
                <w:rFonts w:ascii="Arial" w:hAnsi="Arial" w:cs="Arial"/>
                <w:color w:val="000000"/>
                <w:lang w:eastAsia="en-GB"/>
              </w:rPr>
              <w:t>£</w:t>
            </w:r>
            <w:r w:rsidRPr="00846115" w:rsidR="000C5406">
              <w:rPr>
                <w:rFonts w:ascii="Arial" w:hAnsi="Arial" w:cs="Arial"/>
                <w:color w:val="000000"/>
              </w:rPr>
              <w:t>29,235</w:t>
            </w:r>
          </w:p>
        </w:tc>
        <w:tc>
          <w:tcPr>
            <w:tcW w:w="1480" w:type="dxa"/>
          </w:tcPr>
          <w:p w:rsidRPr="003A30B5" w:rsidR="00065BDD" w:rsidP="009707AF" w:rsidRDefault="00065BDD" w14:paraId="06F565BA" w14:textId="5028D894">
            <w:pPr>
              <w:jc w:val="both"/>
              <w:rPr>
                <w:rFonts w:ascii="Arial" w:hAnsi="Arial" w:cs="Arial"/>
                <w:color w:val="000000" w:themeColor="text1"/>
              </w:rPr>
            </w:pPr>
            <w:r w:rsidRPr="00065BDD">
              <w:rPr>
                <w:rFonts w:ascii="Arial" w:hAnsi="Arial" w:cs="Arial"/>
                <w:color w:val="000000"/>
                <w:lang w:eastAsia="en-GB"/>
              </w:rPr>
              <w:t>£</w:t>
            </w:r>
            <w:r w:rsidRPr="00846115" w:rsidR="000C5406">
              <w:rPr>
                <w:rFonts w:ascii="Arial" w:hAnsi="Arial" w:cs="Arial"/>
                <w:color w:val="000000"/>
              </w:rPr>
              <w:t>31,605</w:t>
            </w:r>
          </w:p>
        </w:tc>
        <w:tc>
          <w:tcPr>
            <w:tcW w:w="232" w:type="dxa"/>
            <w:vMerge/>
          </w:tcPr>
          <w:p w:rsidR="00065BDD" w:rsidP="009707AF" w:rsidRDefault="00065BDD" w14:paraId="0F4C3883" w14:textId="77777777">
            <w:pPr>
              <w:jc w:val="both"/>
              <w:rPr>
                <w:rFonts w:ascii="Arial" w:hAnsi="Arial" w:cs="Arial"/>
                <w:color w:val="000000" w:themeColor="text1"/>
              </w:rPr>
            </w:pPr>
          </w:p>
        </w:tc>
        <w:tc>
          <w:tcPr>
            <w:tcW w:w="1792" w:type="dxa"/>
          </w:tcPr>
          <w:p w:rsidRPr="00846115" w:rsidR="00846115" w:rsidP="00846115" w:rsidRDefault="00846115" w14:paraId="74930226" w14:textId="634506DC">
            <w:pPr>
              <w:rPr>
                <w:rFonts w:ascii="Arial" w:hAnsi="Arial" w:cs="Arial"/>
                <w:color w:val="000000"/>
              </w:rPr>
            </w:pPr>
            <w:r>
              <w:rPr>
                <w:rFonts w:ascii="Arial" w:hAnsi="Arial" w:cs="Arial"/>
                <w:color w:val="000000"/>
              </w:rPr>
              <w:t>£</w:t>
            </w:r>
            <w:r w:rsidR="008C5169">
              <w:rPr>
                <w:rFonts w:ascii="Arial" w:hAnsi="Arial" w:cs="Arial"/>
                <w:color w:val="000000"/>
              </w:rPr>
              <w:t>30,405</w:t>
            </w:r>
            <w:r w:rsidRPr="00846115">
              <w:rPr>
                <w:rFonts w:ascii="Arial" w:hAnsi="Arial" w:cs="Arial"/>
                <w:color w:val="000000"/>
              </w:rPr>
              <w:t xml:space="preserve"> </w:t>
            </w:r>
          </w:p>
          <w:p w:rsidRPr="00846115" w:rsidR="00065BDD" w:rsidP="00846115" w:rsidRDefault="00065BDD" w14:paraId="7A20A5F2" w14:textId="77777777">
            <w:pPr>
              <w:jc w:val="center"/>
              <w:rPr>
                <w:rFonts w:ascii="Arial" w:hAnsi="Arial" w:cs="Arial"/>
                <w:color w:val="000000" w:themeColor="text1"/>
              </w:rPr>
            </w:pPr>
          </w:p>
        </w:tc>
        <w:tc>
          <w:tcPr>
            <w:tcW w:w="1967" w:type="dxa"/>
          </w:tcPr>
          <w:p w:rsidRPr="00846115" w:rsidR="00846115" w:rsidP="00846115" w:rsidRDefault="00846115" w14:paraId="729145F0" w14:textId="27B92E9E">
            <w:pPr>
              <w:jc w:val="both"/>
              <w:rPr>
                <w:rFonts w:ascii="Arial" w:hAnsi="Arial" w:cs="Arial"/>
                <w:color w:val="000000"/>
              </w:rPr>
            </w:pPr>
            <w:r>
              <w:rPr>
                <w:rFonts w:ascii="Arial" w:hAnsi="Arial" w:cs="Arial"/>
                <w:color w:val="000000"/>
              </w:rPr>
              <w:t>£</w:t>
            </w:r>
            <w:r w:rsidR="008C5169">
              <w:rPr>
                <w:rFonts w:ascii="Arial" w:hAnsi="Arial" w:cs="Arial"/>
                <w:color w:val="000000"/>
              </w:rPr>
              <w:t>32,870</w:t>
            </w:r>
          </w:p>
          <w:p w:rsidRPr="00846115" w:rsidR="00065BDD" w:rsidP="009707AF" w:rsidRDefault="00065BDD" w14:paraId="518B2322" w14:textId="77777777">
            <w:pPr>
              <w:jc w:val="both"/>
              <w:rPr>
                <w:rFonts w:ascii="Arial" w:hAnsi="Arial" w:cs="Arial"/>
                <w:color w:val="000000" w:themeColor="text1"/>
              </w:rPr>
            </w:pPr>
          </w:p>
        </w:tc>
      </w:tr>
      <w:tr w:rsidR="00065BDD" w:rsidTr="00065BDD" w14:paraId="3F7270FA" w14:textId="77777777">
        <w:tc>
          <w:tcPr>
            <w:tcW w:w="884" w:type="dxa"/>
          </w:tcPr>
          <w:p w:rsidR="00065BDD" w:rsidP="009707AF" w:rsidRDefault="00065BDD" w14:paraId="77BA0189" w14:textId="4FD2FEE5">
            <w:pPr>
              <w:jc w:val="both"/>
              <w:rPr>
                <w:rFonts w:ascii="Arial" w:hAnsi="Arial" w:cs="Arial"/>
                <w:color w:val="000000" w:themeColor="text1"/>
              </w:rPr>
            </w:pPr>
            <w:r>
              <w:rPr>
                <w:rFonts w:ascii="Arial" w:hAnsi="Arial" w:cs="Arial"/>
                <w:color w:val="000000" w:themeColor="text1"/>
              </w:rPr>
              <w:t>11 B</w:t>
            </w:r>
          </w:p>
        </w:tc>
        <w:tc>
          <w:tcPr>
            <w:tcW w:w="1720" w:type="dxa"/>
          </w:tcPr>
          <w:p w:rsidRPr="003A30B5" w:rsidR="00065BDD" w:rsidP="009707AF" w:rsidRDefault="000C5406" w14:paraId="35D9EE6A" w14:textId="6EA24299">
            <w:pPr>
              <w:jc w:val="both"/>
              <w:rPr>
                <w:rFonts w:ascii="Arial" w:hAnsi="Arial" w:cs="Arial"/>
                <w:color w:val="000000" w:themeColor="text1"/>
              </w:rPr>
            </w:pPr>
            <w:r w:rsidRPr="00846115">
              <w:rPr>
                <w:rFonts w:ascii="Arial" w:hAnsi="Arial" w:cs="Arial"/>
                <w:b/>
                <w:color w:val="000000"/>
                <w:sz w:val="20"/>
                <w:szCs w:val="20"/>
                <w:lang w:eastAsia="en-GB"/>
              </w:rPr>
              <w:t xml:space="preserve"> Removed</w:t>
            </w:r>
          </w:p>
        </w:tc>
        <w:tc>
          <w:tcPr>
            <w:tcW w:w="1480" w:type="dxa"/>
          </w:tcPr>
          <w:p w:rsidRPr="003A30B5" w:rsidR="00065BDD" w:rsidP="009707AF" w:rsidRDefault="00065BDD" w14:paraId="049C25EA" w14:textId="61E1E47C">
            <w:pPr>
              <w:jc w:val="both"/>
              <w:rPr>
                <w:rFonts w:ascii="Arial" w:hAnsi="Arial" w:cs="Arial"/>
                <w:color w:val="000000" w:themeColor="text1"/>
              </w:rPr>
            </w:pPr>
            <w:r w:rsidRPr="00065BDD">
              <w:rPr>
                <w:rFonts w:ascii="Arial" w:hAnsi="Arial" w:cs="Arial"/>
                <w:color w:val="000000"/>
                <w:lang w:eastAsia="en-GB"/>
              </w:rPr>
              <w:t>£</w:t>
            </w:r>
            <w:r w:rsidR="000C5406">
              <w:rPr>
                <w:rFonts w:ascii="Arial" w:hAnsi="Arial" w:cs="Arial"/>
                <w:color w:val="000000"/>
              </w:rPr>
              <w:t>26,099</w:t>
            </w:r>
          </w:p>
        </w:tc>
        <w:tc>
          <w:tcPr>
            <w:tcW w:w="232" w:type="dxa"/>
            <w:vMerge/>
          </w:tcPr>
          <w:p w:rsidR="00065BDD" w:rsidP="009707AF" w:rsidRDefault="00065BDD" w14:paraId="75672778" w14:textId="77777777">
            <w:pPr>
              <w:jc w:val="both"/>
              <w:rPr>
                <w:rFonts w:ascii="Arial" w:hAnsi="Arial" w:cs="Arial"/>
                <w:color w:val="000000" w:themeColor="text1"/>
              </w:rPr>
            </w:pPr>
          </w:p>
        </w:tc>
        <w:tc>
          <w:tcPr>
            <w:tcW w:w="1792" w:type="dxa"/>
          </w:tcPr>
          <w:p w:rsidRPr="00846115" w:rsidR="00065BDD" w:rsidP="000C5406" w:rsidRDefault="008C5169" w14:paraId="11621FE8" w14:textId="1C408452">
            <w:pPr>
              <w:jc w:val="both"/>
              <w:rPr>
                <w:rFonts w:ascii="Arial" w:hAnsi="Arial" w:cs="Arial"/>
                <w:color w:val="000000" w:themeColor="text1"/>
              </w:rPr>
            </w:pPr>
            <w:r w:rsidRPr="008C5169">
              <w:rPr>
                <w:rFonts w:ascii="Arial" w:hAnsi="Arial" w:cs="Arial"/>
                <w:b/>
                <w:color w:val="000000"/>
                <w:sz w:val="20"/>
                <w:szCs w:val="20"/>
                <w:lang w:eastAsia="en-GB"/>
              </w:rPr>
              <w:t>Removed</w:t>
            </w:r>
          </w:p>
        </w:tc>
        <w:tc>
          <w:tcPr>
            <w:tcW w:w="1967" w:type="dxa"/>
          </w:tcPr>
          <w:p w:rsidRPr="00846115" w:rsidR="00065BDD" w:rsidP="000C5406" w:rsidRDefault="009778D7" w14:paraId="7C6EBDC0" w14:textId="2014D0AC">
            <w:pPr>
              <w:jc w:val="both"/>
              <w:rPr>
                <w:rFonts w:ascii="Arial" w:hAnsi="Arial" w:cs="Arial"/>
                <w:color w:val="000000" w:themeColor="text1"/>
              </w:rPr>
            </w:pPr>
            <w:r>
              <w:rPr>
                <w:rFonts w:ascii="Arial" w:hAnsi="Arial" w:cs="Arial"/>
                <w:color w:val="000000"/>
              </w:rPr>
              <w:t>£</w:t>
            </w:r>
            <w:r w:rsidR="003E48AE">
              <w:rPr>
                <w:rFonts w:ascii="Arial" w:hAnsi="Arial" w:cs="Arial"/>
                <w:color w:val="000000"/>
              </w:rPr>
              <w:t>27,143</w:t>
            </w:r>
          </w:p>
        </w:tc>
      </w:tr>
      <w:tr w:rsidR="00065BDD" w:rsidTr="00065BDD" w14:paraId="4D6150A7" w14:textId="77777777">
        <w:tc>
          <w:tcPr>
            <w:tcW w:w="884" w:type="dxa"/>
          </w:tcPr>
          <w:p w:rsidR="00065BDD" w:rsidP="009707AF" w:rsidRDefault="00065BDD" w14:paraId="2464F4F9" w14:textId="38CE6792">
            <w:pPr>
              <w:jc w:val="both"/>
              <w:rPr>
                <w:rFonts w:ascii="Arial" w:hAnsi="Arial" w:cs="Arial"/>
                <w:color w:val="000000" w:themeColor="text1"/>
              </w:rPr>
            </w:pPr>
            <w:r>
              <w:rPr>
                <w:rFonts w:ascii="Arial" w:hAnsi="Arial" w:cs="Arial"/>
                <w:color w:val="000000" w:themeColor="text1"/>
              </w:rPr>
              <w:t>12 C+</w:t>
            </w:r>
          </w:p>
        </w:tc>
        <w:tc>
          <w:tcPr>
            <w:tcW w:w="1720" w:type="dxa"/>
          </w:tcPr>
          <w:p w:rsidRPr="003A30B5" w:rsidR="00065BDD" w:rsidP="009707AF" w:rsidRDefault="000C5406" w14:paraId="5016B93E" w14:textId="107F6B80">
            <w:pPr>
              <w:jc w:val="both"/>
              <w:rPr>
                <w:rFonts w:ascii="Arial" w:hAnsi="Arial" w:cs="Arial"/>
                <w:color w:val="000000" w:themeColor="text1"/>
              </w:rPr>
            </w:pPr>
            <w:r w:rsidRPr="00846115">
              <w:rPr>
                <w:rFonts w:ascii="Arial" w:hAnsi="Arial" w:cs="Arial"/>
                <w:b/>
                <w:color w:val="000000"/>
                <w:sz w:val="20"/>
                <w:szCs w:val="20"/>
                <w:lang w:eastAsia="en-GB"/>
              </w:rPr>
              <w:t xml:space="preserve"> Removed</w:t>
            </w:r>
          </w:p>
        </w:tc>
        <w:tc>
          <w:tcPr>
            <w:tcW w:w="1480" w:type="dxa"/>
          </w:tcPr>
          <w:p w:rsidRPr="003A30B5" w:rsidR="00065BDD" w:rsidP="009707AF" w:rsidRDefault="003A30B5" w14:paraId="12CD4FA0" w14:textId="034BB4C4">
            <w:pPr>
              <w:jc w:val="both"/>
              <w:rPr>
                <w:rFonts w:ascii="Arial" w:hAnsi="Arial" w:cs="Arial"/>
                <w:color w:val="000000" w:themeColor="text1"/>
              </w:rPr>
            </w:pPr>
            <w:r w:rsidRPr="00065BDD">
              <w:rPr>
                <w:rFonts w:ascii="Arial" w:hAnsi="Arial" w:cs="Arial"/>
                <w:color w:val="000000"/>
                <w:lang w:eastAsia="en-GB"/>
              </w:rPr>
              <w:t>£</w:t>
            </w:r>
            <w:r w:rsidRPr="00846115" w:rsidR="000C5406">
              <w:rPr>
                <w:rFonts w:ascii="Arial" w:hAnsi="Arial" w:cs="Arial"/>
                <w:color w:val="000000"/>
              </w:rPr>
              <w:t>24,</w:t>
            </w:r>
            <w:r w:rsidR="000C5406">
              <w:rPr>
                <w:rFonts w:ascii="Arial" w:hAnsi="Arial" w:cs="Arial"/>
                <w:color w:val="000000"/>
              </w:rPr>
              <w:t>6</w:t>
            </w:r>
            <w:r w:rsidRPr="00846115" w:rsidR="000C5406">
              <w:rPr>
                <w:rFonts w:ascii="Arial" w:hAnsi="Arial" w:cs="Arial"/>
                <w:color w:val="000000"/>
              </w:rPr>
              <w:t>50</w:t>
            </w:r>
          </w:p>
        </w:tc>
        <w:tc>
          <w:tcPr>
            <w:tcW w:w="232" w:type="dxa"/>
            <w:vMerge/>
          </w:tcPr>
          <w:p w:rsidR="00065BDD" w:rsidP="009707AF" w:rsidRDefault="00065BDD" w14:paraId="69746744" w14:textId="77777777">
            <w:pPr>
              <w:jc w:val="both"/>
              <w:rPr>
                <w:rFonts w:ascii="Arial" w:hAnsi="Arial" w:cs="Arial"/>
                <w:color w:val="000000" w:themeColor="text1"/>
              </w:rPr>
            </w:pPr>
          </w:p>
        </w:tc>
        <w:tc>
          <w:tcPr>
            <w:tcW w:w="1792" w:type="dxa"/>
          </w:tcPr>
          <w:p w:rsidRPr="00846115" w:rsidR="00065BDD" w:rsidP="000C5406" w:rsidRDefault="008C5169" w14:paraId="31AA9A1C" w14:textId="29B441AF">
            <w:pPr>
              <w:jc w:val="both"/>
              <w:rPr>
                <w:rFonts w:ascii="Arial" w:hAnsi="Arial" w:cs="Arial"/>
                <w:color w:val="000000" w:themeColor="text1"/>
              </w:rPr>
            </w:pPr>
            <w:r w:rsidRPr="008C5169">
              <w:rPr>
                <w:rFonts w:ascii="Arial" w:hAnsi="Arial" w:cs="Arial"/>
                <w:b/>
                <w:color w:val="000000"/>
                <w:sz w:val="20"/>
                <w:szCs w:val="20"/>
                <w:lang w:eastAsia="en-GB"/>
              </w:rPr>
              <w:t>Removed</w:t>
            </w:r>
          </w:p>
        </w:tc>
        <w:tc>
          <w:tcPr>
            <w:tcW w:w="1967" w:type="dxa"/>
          </w:tcPr>
          <w:p w:rsidRPr="00846115" w:rsidR="00065BDD" w:rsidP="009707AF" w:rsidRDefault="00846115" w14:paraId="78E6E80E" w14:textId="063E2F74">
            <w:pPr>
              <w:jc w:val="both"/>
              <w:rPr>
                <w:rFonts w:ascii="Arial" w:hAnsi="Arial" w:cs="Arial"/>
                <w:color w:val="000000" w:themeColor="text1"/>
              </w:rPr>
            </w:pPr>
            <w:r>
              <w:rPr>
                <w:rFonts w:ascii="Arial" w:hAnsi="Arial" w:cs="Arial"/>
                <w:color w:val="000000"/>
              </w:rPr>
              <w:t>£</w:t>
            </w:r>
            <w:r w:rsidR="003E48AE">
              <w:rPr>
                <w:rFonts w:ascii="Arial" w:hAnsi="Arial" w:cs="Arial"/>
                <w:color w:val="000000"/>
              </w:rPr>
              <w:t>25,636</w:t>
            </w:r>
            <w:r w:rsidRPr="00846115">
              <w:rPr>
                <w:rFonts w:ascii="Arial" w:hAnsi="Arial" w:cs="Arial"/>
                <w:color w:val="000000"/>
              </w:rPr>
              <w:t xml:space="preserve"> </w:t>
            </w:r>
          </w:p>
        </w:tc>
      </w:tr>
      <w:tr w:rsidR="00065BDD" w:rsidTr="00065BDD" w14:paraId="2272A993" w14:textId="77777777">
        <w:tc>
          <w:tcPr>
            <w:tcW w:w="884" w:type="dxa"/>
          </w:tcPr>
          <w:p w:rsidR="00065BDD" w:rsidP="009707AF" w:rsidRDefault="00065BDD" w14:paraId="29600257" w14:textId="463DD8F9">
            <w:pPr>
              <w:jc w:val="both"/>
              <w:rPr>
                <w:rFonts w:ascii="Arial" w:hAnsi="Arial" w:cs="Arial"/>
                <w:color w:val="000000" w:themeColor="text1"/>
              </w:rPr>
            </w:pPr>
            <w:r>
              <w:rPr>
                <w:rFonts w:ascii="Arial" w:hAnsi="Arial" w:cs="Arial"/>
                <w:color w:val="000000" w:themeColor="text1"/>
              </w:rPr>
              <w:t>12 C</w:t>
            </w:r>
          </w:p>
        </w:tc>
        <w:tc>
          <w:tcPr>
            <w:tcW w:w="1720" w:type="dxa"/>
          </w:tcPr>
          <w:p w:rsidRPr="003A30B5" w:rsidR="00065BDD" w:rsidP="009707AF" w:rsidRDefault="000C5406" w14:paraId="63469E1E" w14:textId="47B175B0">
            <w:pPr>
              <w:jc w:val="both"/>
              <w:rPr>
                <w:rFonts w:ascii="Arial" w:hAnsi="Arial" w:cs="Arial"/>
                <w:color w:val="000000" w:themeColor="text1"/>
              </w:rPr>
            </w:pPr>
            <w:r w:rsidRPr="00846115">
              <w:rPr>
                <w:rFonts w:ascii="Arial" w:hAnsi="Arial" w:cs="Arial"/>
                <w:b/>
                <w:color w:val="000000"/>
                <w:sz w:val="20"/>
                <w:szCs w:val="20"/>
                <w:lang w:eastAsia="en-GB"/>
              </w:rPr>
              <w:t xml:space="preserve"> Removed</w:t>
            </w:r>
          </w:p>
        </w:tc>
        <w:tc>
          <w:tcPr>
            <w:tcW w:w="1480" w:type="dxa"/>
          </w:tcPr>
          <w:p w:rsidRPr="003A30B5" w:rsidR="00065BDD" w:rsidP="009707AF" w:rsidRDefault="003A30B5" w14:paraId="272CCEEC" w14:textId="7DFCB7C7">
            <w:pPr>
              <w:jc w:val="both"/>
              <w:rPr>
                <w:rFonts w:ascii="Arial" w:hAnsi="Arial" w:cs="Arial"/>
                <w:color w:val="000000" w:themeColor="text1"/>
              </w:rPr>
            </w:pPr>
            <w:r w:rsidRPr="00065BDD">
              <w:rPr>
                <w:rFonts w:ascii="Arial" w:hAnsi="Arial" w:cs="Arial"/>
                <w:color w:val="000000"/>
                <w:lang w:eastAsia="en-GB"/>
              </w:rPr>
              <w:t>£</w:t>
            </w:r>
            <w:r w:rsidRPr="00846115" w:rsidR="000C5406">
              <w:rPr>
                <w:rFonts w:ascii="Arial" w:hAnsi="Arial" w:cs="Arial"/>
                <w:color w:val="000000"/>
              </w:rPr>
              <w:t>2</w:t>
            </w:r>
            <w:r w:rsidR="000C5406">
              <w:rPr>
                <w:rFonts w:ascii="Arial" w:hAnsi="Arial" w:cs="Arial"/>
                <w:color w:val="000000"/>
              </w:rPr>
              <w:t>3,4</w:t>
            </w:r>
            <w:r w:rsidRPr="00846115" w:rsidR="000C5406">
              <w:rPr>
                <w:rFonts w:ascii="Arial" w:hAnsi="Arial" w:cs="Arial"/>
                <w:color w:val="000000"/>
              </w:rPr>
              <w:t>38</w:t>
            </w:r>
          </w:p>
        </w:tc>
        <w:tc>
          <w:tcPr>
            <w:tcW w:w="232" w:type="dxa"/>
            <w:vMerge/>
          </w:tcPr>
          <w:p w:rsidR="00065BDD" w:rsidP="009707AF" w:rsidRDefault="00065BDD" w14:paraId="7D0B0E65" w14:textId="77777777">
            <w:pPr>
              <w:jc w:val="both"/>
              <w:rPr>
                <w:rFonts w:ascii="Arial" w:hAnsi="Arial" w:cs="Arial"/>
                <w:color w:val="000000" w:themeColor="text1"/>
              </w:rPr>
            </w:pPr>
          </w:p>
        </w:tc>
        <w:tc>
          <w:tcPr>
            <w:tcW w:w="1792" w:type="dxa"/>
          </w:tcPr>
          <w:p w:rsidRPr="00846115" w:rsidR="00065BDD" w:rsidP="009707AF" w:rsidRDefault="008C5169" w14:paraId="2C3430A7" w14:textId="542B9DD6">
            <w:pPr>
              <w:jc w:val="both"/>
              <w:rPr>
                <w:rFonts w:ascii="Arial" w:hAnsi="Arial" w:cs="Arial"/>
                <w:color w:val="000000" w:themeColor="text1"/>
              </w:rPr>
            </w:pPr>
            <w:r w:rsidRPr="008C5169">
              <w:rPr>
                <w:rFonts w:ascii="Arial" w:hAnsi="Arial" w:cs="Arial"/>
                <w:b/>
                <w:color w:val="000000"/>
                <w:sz w:val="20"/>
                <w:szCs w:val="20"/>
                <w:lang w:eastAsia="en-GB"/>
              </w:rPr>
              <w:t>Removed</w:t>
            </w:r>
          </w:p>
        </w:tc>
        <w:tc>
          <w:tcPr>
            <w:tcW w:w="1967" w:type="dxa"/>
          </w:tcPr>
          <w:p w:rsidRPr="00846115" w:rsidR="00065BDD" w:rsidP="000C5406" w:rsidRDefault="00846115" w14:paraId="693B4929" w14:textId="1AAF36A1">
            <w:pPr>
              <w:rPr>
                <w:rFonts w:ascii="Arial" w:hAnsi="Arial" w:cs="Arial"/>
                <w:color w:val="000000"/>
              </w:rPr>
            </w:pPr>
            <w:r>
              <w:rPr>
                <w:rFonts w:ascii="Arial" w:hAnsi="Arial" w:cs="Arial"/>
                <w:color w:val="000000"/>
              </w:rPr>
              <w:t>£</w:t>
            </w:r>
            <w:r w:rsidR="003E48AE">
              <w:rPr>
                <w:rFonts w:ascii="Arial" w:hAnsi="Arial" w:cs="Arial"/>
                <w:color w:val="000000"/>
              </w:rPr>
              <w:t>24,376</w:t>
            </w:r>
          </w:p>
        </w:tc>
      </w:tr>
      <w:tr w:rsidR="00065BDD" w:rsidTr="00065BDD" w14:paraId="3C3E1AAD" w14:textId="77777777">
        <w:tc>
          <w:tcPr>
            <w:tcW w:w="884" w:type="dxa"/>
          </w:tcPr>
          <w:p w:rsidR="00065BDD" w:rsidP="009707AF" w:rsidRDefault="00065BDD" w14:paraId="6C57F472" w14:textId="6AF78DC8">
            <w:pPr>
              <w:jc w:val="both"/>
              <w:rPr>
                <w:rFonts w:ascii="Arial" w:hAnsi="Arial" w:cs="Arial"/>
                <w:color w:val="000000" w:themeColor="text1"/>
              </w:rPr>
            </w:pPr>
            <w:r>
              <w:rPr>
                <w:rFonts w:ascii="Arial" w:hAnsi="Arial" w:cs="Arial"/>
                <w:color w:val="000000" w:themeColor="text1"/>
              </w:rPr>
              <w:t>12 D</w:t>
            </w:r>
          </w:p>
        </w:tc>
        <w:tc>
          <w:tcPr>
            <w:tcW w:w="1720" w:type="dxa"/>
          </w:tcPr>
          <w:p w:rsidRPr="003A30B5" w:rsidR="00065BDD" w:rsidP="009707AF" w:rsidRDefault="000C5406" w14:paraId="0549ABFC" w14:textId="40A9ACA0">
            <w:pPr>
              <w:jc w:val="both"/>
              <w:rPr>
                <w:rFonts w:ascii="Arial" w:hAnsi="Arial" w:cs="Arial"/>
                <w:color w:val="000000" w:themeColor="text1"/>
              </w:rPr>
            </w:pPr>
            <w:r w:rsidRPr="00846115">
              <w:rPr>
                <w:rFonts w:ascii="Arial" w:hAnsi="Arial" w:cs="Arial"/>
                <w:b/>
                <w:color w:val="000000"/>
                <w:sz w:val="20"/>
                <w:szCs w:val="20"/>
                <w:lang w:eastAsia="en-GB"/>
              </w:rPr>
              <w:t xml:space="preserve"> Removed</w:t>
            </w:r>
          </w:p>
        </w:tc>
        <w:tc>
          <w:tcPr>
            <w:tcW w:w="1480" w:type="dxa"/>
          </w:tcPr>
          <w:p w:rsidRPr="003A30B5" w:rsidR="00065BDD" w:rsidP="009707AF" w:rsidRDefault="003A30B5" w14:paraId="76578BAE" w14:textId="485050CA">
            <w:pPr>
              <w:jc w:val="both"/>
              <w:rPr>
                <w:rFonts w:ascii="Arial" w:hAnsi="Arial" w:cs="Arial"/>
                <w:color w:val="000000" w:themeColor="text1"/>
              </w:rPr>
            </w:pPr>
            <w:r w:rsidRPr="00065BDD">
              <w:rPr>
                <w:rFonts w:ascii="Arial" w:hAnsi="Arial" w:cs="Arial"/>
                <w:color w:val="000000"/>
                <w:lang w:eastAsia="en-GB"/>
              </w:rPr>
              <w:t>£</w:t>
            </w:r>
            <w:r w:rsidRPr="00846115" w:rsidR="000C5406">
              <w:rPr>
                <w:rFonts w:ascii="Arial" w:hAnsi="Arial" w:cs="Arial"/>
                <w:color w:val="000000"/>
              </w:rPr>
              <w:t>2</w:t>
            </w:r>
            <w:r w:rsidR="000C5406">
              <w:rPr>
                <w:rFonts w:ascii="Arial" w:hAnsi="Arial" w:cs="Arial"/>
                <w:color w:val="000000"/>
              </w:rPr>
              <w:t>3</w:t>
            </w:r>
            <w:r w:rsidRPr="00846115" w:rsidR="000C5406">
              <w:rPr>
                <w:rFonts w:ascii="Arial" w:hAnsi="Arial" w:cs="Arial"/>
                <w:color w:val="000000"/>
              </w:rPr>
              <w:t>,</w:t>
            </w:r>
            <w:r w:rsidR="000C5406">
              <w:rPr>
                <w:rFonts w:ascii="Arial" w:hAnsi="Arial" w:cs="Arial"/>
                <w:color w:val="000000"/>
              </w:rPr>
              <w:t>0</w:t>
            </w:r>
            <w:r w:rsidRPr="00846115" w:rsidR="000C5406">
              <w:rPr>
                <w:rFonts w:ascii="Arial" w:hAnsi="Arial" w:cs="Arial"/>
                <w:color w:val="000000"/>
              </w:rPr>
              <w:t>03</w:t>
            </w:r>
          </w:p>
        </w:tc>
        <w:tc>
          <w:tcPr>
            <w:tcW w:w="232" w:type="dxa"/>
            <w:vMerge/>
          </w:tcPr>
          <w:p w:rsidR="00065BDD" w:rsidP="009707AF" w:rsidRDefault="00065BDD" w14:paraId="179687B4" w14:textId="77777777">
            <w:pPr>
              <w:jc w:val="both"/>
              <w:rPr>
                <w:rFonts w:ascii="Arial" w:hAnsi="Arial" w:cs="Arial"/>
                <w:color w:val="000000" w:themeColor="text1"/>
              </w:rPr>
            </w:pPr>
          </w:p>
        </w:tc>
        <w:tc>
          <w:tcPr>
            <w:tcW w:w="1792" w:type="dxa"/>
          </w:tcPr>
          <w:p w:rsidR="00065BDD" w:rsidP="009707AF" w:rsidRDefault="008C5169" w14:paraId="04E0B0AD" w14:textId="6E1D829D">
            <w:pPr>
              <w:jc w:val="both"/>
              <w:rPr>
                <w:rFonts w:ascii="Arial" w:hAnsi="Arial" w:cs="Arial"/>
                <w:color w:val="000000" w:themeColor="text1"/>
              </w:rPr>
            </w:pPr>
            <w:r w:rsidRPr="008C5169">
              <w:rPr>
                <w:rFonts w:ascii="Arial" w:hAnsi="Arial" w:cs="Arial"/>
                <w:b/>
                <w:color w:val="000000"/>
                <w:sz w:val="20"/>
                <w:szCs w:val="20"/>
                <w:lang w:eastAsia="en-GB"/>
              </w:rPr>
              <w:t>Removed</w:t>
            </w:r>
          </w:p>
        </w:tc>
        <w:tc>
          <w:tcPr>
            <w:tcW w:w="1967" w:type="dxa"/>
          </w:tcPr>
          <w:p w:rsidRPr="00846115" w:rsidR="00065BDD" w:rsidP="000C5406" w:rsidRDefault="00846115" w14:paraId="3AE69DBC" w14:textId="4ECF8EE3">
            <w:pPr>
              <w:jc w:val="both"/>
              <w:rPr>
                <w:rFonts w:ascii="Arial" w:hAnsi="Arial" w:cs="Arial"/>
                <w:color w:val="000000"/>
              </w:rPr>
            </w:pPr>
            <w:r>
              <w:rPr>
                <w:rFonts w:ascii="Arial" w:hAnsi="Arial" w:cs="Arial"/>
                <w:color w:val="000000"/>
              </w:rPr>
              <w:t>£</w:t>
            </w:r>
            <w:r w:rsidR="003E48AE">
              <w:rPr>
                <w:rFonts w:ascii="Arial" w:hAnsi="Arial" w:cs="Arial"/>
                <w:color w:val="000000"/>
              </w:rPr>
              <w:t>23,924</w:t>
            </w:r>
          </w:p>
        </w:tc>
      </w:tr>
    </w:tbl>
    <w:p w:rsidR="003A30B5" w:rsidP="009707AF" w:rsidRDefault="003A30B5" w14:paraId="58782B87" w14:textId="77777777">
      <w:pPr>
        <w:ind w:left="851" w:hanging="851"/>
        <w:jc w:val="both"/>
        <w:rPr>
          <w:rFonts w:ascii="Arial" w:hAnsi="Arial" w:cs="Arial"/>
          <w:color w:val="000000" w:themeColor="text1"/>
        </w:rPr>
      </w:pPr>
    </w:p>
    <w:p w:rsidR="003A30B5" w:rsidP="009707AF" w:rsidRDefault="003A30B5" w14:paraId="04E31E7B" w14:textId="500D3966">
      <w:pPr>
        <w:ind w:left="851" w:hanging="851"/>
        <w:jc w:val="both"/>
        <w:rPr>
          <w:rFonts w:ascii="Arial" w:hAnsi="Arial" w:cs="Arial"/>
          <w:color w:val="000000" w:themeColor="text1"/>
        </w:rPr>
      </w:pPr>
      <w:r>
        <w:rPr>
          <w:rFonts w:ascii="Arial" w:hAnsi="Arial" w:cs="Arial"/>
          <w:color w:val="000000" w:themeColor="text1"/>
        </w:rPr>
        <w:t>5.4</w:t>
      </w:r>
      <w:r>
        <w:rPr>
          <w:rFonts w:ascii="Arial" w:hAnsi="Arial" w:cs="Arial"/>
          <w:color w:val="000000" w:themeColor="text1"/>
        </w:rPr>
        <w:tab/>
      </w:r>
      <w:r w:rsidR="003842B6">
        <w:rPr>
          <w:rFonts w:ascii="Arial" w:hAnsi="Arial" w:cs="Arial"/>
          <w:color w:val="000000" w:themeColor="text1"/>
        </w:rPr>
        <w:t>A</w:t>
      </w:r>
      <w:r w:rsidR="00B41C17">
        <w:rPr>
          <w:rFonts w:ascii="Arial" w:hAnsi="Arial" w:cs="Arial"/>
          <w:color w:val="000000" w:themeColor="text1"/>
        </w:rPr>
        <w:t xml:space="preserve"> retention payment</w:t>
      </w:r>
      <w:r w:rsidR="003842B6">
        <w:rPr>
          <w:rFonts w:ascii="Arial" w:hAnsi="Arial" w:cs="Arial"/>
          <w:color w:val="000000" w:themeColor="text1"/>
        </w:rPr>
        <w:t xml:space="preserve"> of £2000 per annum is in place</w:t>
      </w:r>
      <w:r w:rsidR="00B41C17">
        <w:rPr>
          <w:rFonts w:ascii="Arial" w:hAnsi="Arial" w:cs="Arial"/>
          <w:color w:val="000000" w:themeColor="text1"/>
        </w:rPr>
        <w:t xml:space="preserve"> for HGV Drivers (Grade 10A) and will be reviewed in accordance with the Retention Payments Policy. </w:t>
      </w:r>
      <w:r w:rsidR="003842B6">
        <w:rPr>
          <w:rFonts w:ascii="Arial" w:hAnsi="Arial" w:cs="Arial"/>
          <w:color w:val="000000" w:themeColor="text1"/>
        </w:rPr>
        <w:t xml:space="preserve">A retention payment of £1400 per annum is in place </w:t>
      </w:r>
      <w:r w:rsidR="008D2470">
        <w:rPr>
          <w:rFonts w:ascii="Arial" w:hAnsi="Arial" w:cs="Arial"/>
          <w:color w:val="000000" w:themeColor="text1"/>
        </w:rPr>
        <w:t>for staff on Grade</w:t>
      </w:r>
      <w:r w:rsidR="003842B6">
        <w:rPr>
          <w:rFonts w:ascii="Arial" w:hAnsi="Arial" w:cs="Arial"/>
          <w:color w:val="000000" w:themeColor="text1"/>
        </w:rPr>
        <w:t>s</w:t>
      </w:r>
      <w:r w:rsidR="008D2470">
        <w:rPr>
          <w:rFonts w:ascii="Arial" w:hAnsi="Arial" w:cs="Arial"/>
          <w:color w:val="000000" w:themeColor="text1"/>
        </w:rPr>
        <w:t xml:space="preserve"> 11B, 12C+, 12C and 12D </w:t>
      </w:r>
      <w:r w:rsidR="003842B6">
        <w:rPr>
          <w:rFonts w:ascii="Arial" w:hAnsi="Arial" w:cs="Arial"/>
          <w:color w:val="000000" w:themeColor="text1"/>
        </w:rPr>
        <w:t>and</w:t>
      </w:r>
      <w:r w:rsidR="00403994">
        <w:rPr>
          <w:rFonts w:ascii="Arial" w:hAnsi="Arial" w:cs="Arial"/>
          <w:color w:val="000000" w:themeColor="text1"/>
        </w:rPr>
        <w:t xml:space="preserve"> will be reviewed</w:t>
      </w:r>
      <w:r w:rsidRPr="00403994" w:rsidR="00403994">
        <w:rPr>
          <w:rFonts w:ascii="Arial" w:hAnsi="Arial" w:cs="Arial"/>
          <w:color w:val="000000" w:themeColor="text1"/>
        </w:rPr>
        <w:t xml:space="preserve"> </w:t>
      </w:r>
      <w:r w:rsidR="00403994">
        <w:rPr>
          <w:rFonts w:ascii="Arial" w:hAnsi="Arial" w:cs="Arial"/>
          <w:color w:val="000000" w:themeColor="text1"/>
        </w:rPr>
        <w:t>in accordance with the Retention Payments Policy.</w:t>
      </w:r>
    </w:p>
    <w:p w:rsidR="00065BDD" w:rsidP="009707AF" w:rsidRDefault="00065BDD" w14:paraId="7601937C" w14:textId="7A988FE5">
      <w:pPr>
        <w:ind w:left="851" w:hanging="851"/>
        <w:jc w:val="both"/>
        <w:rPr>
          <w:rFonts w:ascii="Arial" w:hAnsi="Arial" w:cs="Arial"/>
          <w:color w:val="000000" w:themeColor="text1"/>
        </w:rPr>
      </w:pPr>
    </w:p>
    <w:p w:rsidRPr="007A69FA" w:rsidR="00364D3D" w:rsidP="009707AF" w:rsidRDefault="00B41C17" w14:paraId="6EB8EA84" w14:textId="62C6258C">
      <w:pPr>
        <w:ind w:left="851" w:hanging="851"/>
        <w:jc w:val="both"/>
        <w:rPr>
          <w:rFonts w:ascii="Arial" w:hAnsi="Arial" w:cs="Arial"/>
          <w:color w:val="000000" w:themeColor="text1"/>
        </w:rPr>
      </w:pPr>
      <w:r>
        <w:rPr>
          <w:rFonts w:ascii="Arial" w:hAnsi="Arial" w:cs="Arial"/>
          <w:color w:val="000000" w:themeColor="text1"/>
        </w:rPr>
        <w:t>5.5</w:t>
      </w:r>
      <w:r w:rsidR="00C324BF">
        <w:rPr>
          <w:rFonts w:ascii="Arial" w:hAnsi="Arial" w:cs="Arial"/>
          <w:color w:val="000000" w:themeColor="text1"/>
        </w:rPr>
        <w:tab/>
      </w:r>
      <w:r w:rsidRPr="007A69FA" w:rsidR="00DD46FD">
        <w:rPr>
          <w:rFonts w:ascii="Arial" w:hAnsi="Arial" w:cs="Arial"/>
          <w:b/>
          <w:color w:val="000000" w:themeColor="text1"/>
        </w:rPr>
        <w:t xml:space="preserve">Job Grades and Evaluation: </w:t>
      </w:r>
      <w:r w:rsidRPr="007A69FA" w:rsidR="00DD46FD">
        <w:rPr>
          <w:rFonts w:ascii="Arial" w:hAnsi="Arial" w:cs="Arial"/>
          <w:color w:val="000000" w:themeColor="text1"/>
        </w:rPr>
        <w:t xml:space="preserve">The grade assigned to any post is determined with reference to the agreed job description for that post and assessment by a panel of trained evaluators using the </w:t>
      </w:r>
      <w:proofErr w:type="spellStart"/>
      <w:r w:rsidRPr="007A69FA" w:rsidR="00DD46FD">
        <w:rPr>
          <w:rFonts w:ascii="Arial" w:hAnsi="Arial" w:cs="Arial"/>
          <w:color w:val="000000" w:themeColor="text1"/>
        </w:rPr>
        <w:t>Inbucon</w:t>
      </w:r>
      <w:proofErr w:type="spellEnd"/>
      <w:r w:rsidRPr="007A69FA" w:rsidR="00DD46FD">
        <w:rPr>
          <w:rFonts w:ascii="Arial" w:hAnsi="Arial" w:cs="Arial"/>
          <w:color w:val="000000" w:themeColor="text1"/>
        </w:rPr>
        <w:t xml:space="preserve"> Job </w:t>
      </w:r>
      <w:r w:rsidRPr="007A69FA" w:rsidR="00DD46FD">
        <w:rPr>
          <w:rFonts w:ascii="Arial" w:hAnsi="Arial" w:cs="Arial"/>
          <w:color w:val="000000" w:themeColor="text1"/>
        </w:rPr>
        <w:lastRenderedPageBreak/>
        <w:t>Evaluation Scheme. There is an agreed policy and process for the evaluation and grading of jobs and a Grading Appeal</w:t>
      </w:r>
      <w:r w:rsidRPr="007A69FA" w:rsidR="007A29E7">
        <w:rPr>
          <w:rFonts w:ascii="Arial" w:hAnsi="Arial" w:cs="Arial"/>
          <w:color w:val="000000" w:themeColor="text1"/>
        </w:rPr>
        <w:t>s</w:t>
      </w:r>
      <w:r w:rsidRPr="007A69FA" w:rsidR="00DD46FD">
        <w:rPr>
          <w:rFonts w:ascii="Arial" w:hAnsi="Arial" w:cs="Arial"/>
          <w:color w:val="000000" w:themeColor="text1"/>
        </w:rPr>
        <w:t xml:space="preserve"> Procedure</w:t>
      </w:r>
      <w:r w:rsidRPr="007A69FA" w:rsidR="007A29E7">
        <w:rPr>
          <w:rFonts w:ascii="Arial" w:hAnsi="Arial" w:cs="Arial"/>
          <w:color w:val="000000" w:themeColor="text1"/>
        </w:rPr>
        <w:t>.</w:t>
      </w:r>
    </w:p>
    <w:p w:rsidRPr="007A69FA" w:rsidR="00364D3D" w:rsidP="009707AF" w:rsidRDefault="00364D3D" w14:paraId="4709BF97" w14:textId="77777777">
      <w:pPr>
        <w:ind w:left="1418" w:hanging="851"/>
        <w:jc w:val="both"/>
        <w:rPr>
          <w:rFonts w:ascii="Arial" w:hAnsi="Arial" w:cs="Arial"/>
          <w:b/>
          <w:color w:val="000000" w:themeColor="text1"/>
        </w:rPr>
      </w:pPr>
    </w:p>
    <w:p w:rsidRPr="007A69FA" w:rsidR="00364D3D" w:rsidP="009707AF" w:rsidRDefault="00B41C17" w14:paraId="5C07E496" w14:textId="608E4C40">
      <w:pPr>
        <w:ind w:left="851" w:hanging="851"/>
        <w:jc w:val="both"/>
        <w:rPr>
          <w:rFonts w:ascii="Arial" w:hAnsi="Arial" w:cs="Arial"/>
          <w:color w:val="000000" w:themeColor="text1"/>
        </w:rPr>
      </w:pPr>
      <w:r>
        <w:rPr>
          <w:rFonts w:ascii="Arial" w:hAnsi="Arial" w:cs="Arial"/>
          <w:color w:val="000000" w:themeColor="text1"/>
        </w:rPr>
        <w:t>5.6</w:t>
      </w:r>
      <w:r w:rsidRPr="007A69FA" w:rsidR="00364D3D">
        <w:rPr>
          <w:rFonts w:ascii="Arial" w:hAnsi="Arial" w:cs="Arial"/>
          <w:b/>
          <w:color w:val="000000" w:themeColor="text1"/>
        </w:rPr>
        <w:tab/>
      </w:r>
      <w:r w:rsidRPr="007A69FA" w:rsidR="00DD46FD">
        <w:rPr>
          <w:rFonts w:ascii="Arial" w:hAnsi="Arial" w:cs="Arial"/>
          <w:b/>
          <w:color w:val="000000" w:themeColor="text1"/>
        </w:rPr>
        <w:t xml:space="preserve">Pay Progression: </w:t>
      </w:r>
      <w:r w:rsidRPr="007A69FA" w:rsidR="001922E0">
        <w:rPr>
          <w:rFonts w:ascii="Arial" w:hAnsi="Arial" w:cs="Arial"/>
          <w:color w:val="000000" w:themeColor="text1"/>
        </w:rPr>
        <w:t>Since the Council opted out of the National Agreement on Pay</w:t>
      </w:r>
      <w:r w:rsidRPr="007A69FA" w:rsidR="001922E0">
        <w:rPr>
          <w:rFonts w:ascii="Arial" w:hAnsi="Arial" w:cs="Arial"/>
          <w:b/>
          <w:color w:val="000000" w:themeColor="text1"/>
        </w:rPr>
        <w:t xml:space="preserve"> </w:t>
      </w:r>
      <w:r w:rsidRPr="007A69FA" w:rsidR="001922E0">
        <w:rPr>
          <w:rFonts w:ascii="Arial" w:hAnsi="Arial" w:cs="Arial"/>
          <w:color w:val="000000" w:themeColor="text1"/>
        </w:rPr>
        <w:t>t</w:t>
      </w:r>
      <w:r w:rsidRPr="007A69FA" w:rsidR="00DD46FD">
        <w:rPr>
          <w:rFonts w:ascii="Arial" w:hAnsi="Arial" w:cs="Arial"/>
          <w:color w:val="000000" w:themeColor="text1"/>
        </w:rPr>
        <w:t xml:space="preserve">here </w:t>
      </w:r>
      <w:r w:rsidRPr="007A69FA" w:rsidR="001922E0">
        <w:rPr>
          <w:rFonts w:ascii="Arial" w:hAnsi="Arial" w:cs="Arial"/>
          <w:color w:val="000000" w:themeColor="text1"/>
        </w:rPr>
        <w:t>have been</w:t>
      </w:r>
      <w:r w:rsidRPr="007A69FA" w:rsidR="00DD46FD">
        <w:rPr>
          <w:rFonts w:ascii="Arial" w:hAnsi="Arial" w:cs="Arial"/>
          <w:color w:val="000000" w:themeColor="text1"/>
        </w:rPr>
        <w:t xml:space="preserve"> no automatic pay increments given </w:t>
      </w:r>
      <w:r w:rsidRPr="007A69FA" w:rsidR="001922E0">
        <w:rPr>
          <w:rFonts w:ascii="Arial" w:hAnsi="Arial" w:cs="Arial"/>
          <w:color w:val="000000" w:themeColor="text1"/>
        </w:rPr>
        <w:t xml:space="preserve">on a ‘time served’ basis </w:t>
      </w:r>
      <w:r w:rsidRPr="007A69FA" w:rsidR="00DD46FD">
        <w:rPr>
          <w:rFonts w:ascii="Arial" w:hAnsi="Arial" w:cs="Arial"/>
          <w:color w:val="000000" w:themeColor="text1"/>
        </w:rPr>
        <w:t xml:space="preserve">in the Council. Where an employee has been appointed on a salary below the level considered to be the market rate for the job (MRP) a competency assessment takes place before the third year of service in the role is completed and an adjustment may be made if there is evidence of full competence in the role. This is set out in the Pay Progression Policy. In certain circumstances, an employee may be considered for progression beyond the market related point (MRP) for the job if they are carrying out additional responsibilities and the process for this is set out in the Individual Salary Review Scheme. However, it should be noted that the maximum increase achievable through the Individual Salary Review Scheme is much smaller than the maximum allowable by either job evaluation or the Pay Progression </w:t>
      </w:r>
      <w:r w:rsidRPr="007A69FA" w:rsidR="007A29E7">
        <w:rPr>
          <w:rFonts w:ascii="Arial" w:hAnsi="Arial" w:cs="Arial"/>
          <w:color w:val="000000" w:themeColor="text1"/>
        </w:rPr>
        <w:t>Policy</w:t>
      </w:r>
      <w:r w:rsidRPr="007A69FA" w:rsidR="00DD46FD">
        <w:rPr>
          <w:rFonts w:ascii="Arial" w:hAnsi="Arial" w:cs="Arial"/>
          <w:color w:val="000000" w:themeColor="text1"/>
        </w:rPr>
        <w:t>.</w:t>
      </w:r>
    </w:p>
    <w:p w:rsidRPr="007A69FA" w:rsidR="00DD46FD" w:rsidP="009707AF" w:rsidRDefault="00DD46FD" w14:paraId="35D93B70" w14:textId="77777777">
      <w:pPr>
        <w:jc w:val="both"/>
        <w:rPr>
          <w:rFonts w:ascii="Arial" w:hAnsi="Arial" w:cs="Arial"/>
          <w:color w:val="000000" w:themeColor="text1"/>
        </w:rPr>
      </w:pPr>
      <w:r w:rsidRPr="007A69FA">
        <w:rPr>
          <w:rFonts w:ascii="Arial" w:hAnsi="Arial" w:cs="Arial"/>
          <w:color w:val="000000" w:themeColor="text1"/>
        </w:rPr>
        <w:t xml:space="preserve"> </w:t>
      </w:r>
    </w:p>
    <w:p w:rsidRPr="007A69FA" w:rsidR="00B45D27" w:rsidP="009707AF" w:rsidRDefault="00B41C17" w14:paraId="69CA1592" w14:textId="4EFF95B8">
      <w:pPr>
        <w:pStyle w:val="BodyText2"/>
        <w:tabs>
          <w:tab w:val="left" w:pos="3360"/>
        </w:tabs>
        <w:ind w:left="851" w:hanging="851"/>
        <w:jc w:val="both"/>
        <w:rPr>
          <w:rFonts w:ascii="Arial" w:hAnsi="Arial" w:cs="Arial"/>
          <w:b w:val="0"/>
          <w:color w:val="000000" w:themeColor="text1"/>
          <w:sz w:val="24"/>
        </w:rPr>
      </w:pPr>
      <w:r>
        <w:rPr>
          <w:rFonts w:ascii="Arial" w:hAnsi="Arial" w:cs="Arial"/>
          <w:b w:val="0"/>
          <w:color w:val="000000" w:themeColor="text1"/>
          <w:sz w:val="24"/>
        </w:rPr>
        <w:t>5.7</w:t>
      </w:r>
      <w:r w:rsidRPr="007A69FA" w:rsidR="00ED56A1">
        <w:rPr>
          <w:rFonts w:ascii="Arial" w:hAnsi="Arial" w:cs="Arial"/>
          <w:b w:val="0"/>
          <w:color w:val="000000" w:themeColor="text1"/>
          <w:sz w:val="24"/>
        </w:rPr>
        <w:tab/>
      </w:r>
      <w:r w:rsidRPr="007A69FA" w:rsidR="00B45D27">
        <w:rPr>
          <w:rFonts w:ascii="Arial" w:hAnsi="Arial" w:cs="Arial"/>
          <w:b w:val="0"/>
          <w:color w:val="000000" w:themeColor="text1"/>
          <w:sz w:val="24"/>
        </w:rPr>
        <w:t xml:space="preserve">The </w:t>
      </w:r>
      <w:r w:rsidRPr="007A69FA" w:rsidR="007A29E7">
        <w:rPr>
          <w:rFonts w:ascii="Arial" w:hAnsi="Arial" w:cs="Arial"/>
          <w:b w:val="0"/>
          <w:color w:val="000000" w:themeColor="text1"/>
          <w:sz w:val="24"/>
        </w:rPr>
        <w:t>P</w:t>
      </w:r>
      <w:r w:rsidRPr="007A69FA" w:rsidR="00B45D27">
        <w:rPr>
          <w:rFonts w:ascii="Arial" w:hAnsi="Arial" w:cs="Arial"/>
          <w:b w:val="0"/>
          <w:color w:val="000000" w:themeColor="text1"/>
          <w:sz w:val="24"/>
        </w:rPr>
        <w:t xml:space="preserve">ay </w:t>
      </w:r>
      <w:r w:rsidRPr="007A69FA" w:rsidR="007A29E7">
        <w:rPr>
          <w:rFonts w:ascii="Arial" w:hAnsi="Arial" w:cs="Arial"/>
          <w:b w:val="0"/>
          <w:color w:val="000000" w:themeColor="text1"/>
          <w:sz w:val="24"/>
        </w:rPr>
        <w:t>P</w:t>
      </w:r>
      <w:r w:rsidRPr="007A69FA" w:rsidR="00B45D27">
        <w:rPr>
          <w:rFonts w:ascii="Arial" w:hAnsi="Arial" w:cs="Arial"/>
          <w:b w:val="0"/>
          <w:color w:val="000000" w:themeColor="text1"/>
          <w:sz w:val="24"/>
        </w:rPr>
        <w:t xml:space="preserve">rogression </w:t>
      </w:r>
      <w:r w:rsidRPr="007A69FA" w:rsidR="007A29E7">
        <w:rPr>
          <w:rFonts w:ascii="Arial" w:hAnsi="Arial" w:cs="Arial"/>
          <w:b w:val="0"/>
          <w:color w:val="000000" w:themeColor="text1"/>
          <w:sz w:val="24"/>
        </w:rPr>
        <w:t>P</w:t>
      </w:r>
      <w:r w:rsidRPr="007A69FA" w:rsidR="00B45D27">
        <w:rPr>
          <w:rFonts w:ascii="Arial" w:hAnsi="Arial" w:cs="Arial"/>
          <w:b w:val="0"/>
          <w:color w:val="000000" w:themeColor="text1"/>
          <w:sz w:val="24"/>
        </w:rPr>
        <w:t xml:space="preserve">olicy does include provision for progression above the MRP for professionally qualified Planning Officers and Environmental Health Officers to address current recruitment and retention in these areas. </w:t>
      </w:r>
    </w:p>
    <w:p w:rsidRPr="007A69FA" w:rsidR="00B45D27" w:rsidP="009707AF" w:rsidRDefault="00B45D27" w14:paraId="08AA72BC" w14:textId="77777777">
      <w:pPr>
        <w:ind w:left="851" w:hanging="851"/>
        <w:jc w:val="both"/>
        <w:rPr>
          <w:rFonts w:ascii="Arial" w:hAnsi="Arial" w:cs="Arial"/>
          <w:color w:val="000000" w:themeColor="text1"/>
        </w:rPr>
      </w:pPr>
    </w:p>
    <w:p w:rsidRPr="00C324BF" w:rsidR="00C57BE8" w:rsidP="002A5F9A" w:rsidRDefault="00B41C17" w14:paraId="0E0050F8" w14:textId="5E3D1D94">
      <w:pPr>
        <w:ind w:left="851" w:hanging="851"/>
        <w:jc w:val="both"/>
        <w:rPr>
          <w:rFonts w:ascii="Arial" w:hAnsi="Arial" w:cs="Arial"/>
          <w:color w:val="000000" w:themeColor="text1"/>
        </w:rPr>
      </w:pPr>
      <w:r>
        <w:rPr>
          <w:rFonts w:ascii="Arial" w:hAnsi="Arial" w:cs="Arial"/>
          <w:color w:val="000000" w:themeColor="text1"/>
        </w:rPr>
        <w:t>5.8</w:t>
      </w:r>
      <w:r w:rsidR="00C324BF">
        <w:rPr>
          <w:rFonts w:ascii="Arial" w:hAnsi="Arial" w:cs="Arial"/>
          <w:color w:val="000000" w:themeColor="text1"/>
        </w:rPr>
        <w:tab/>
      </w:r>
      <w:r w:rsidRPr="00C324BF" w:rsidR="00DD46FD">
        <w:rPr>
          <w:rFonts w:ascii="Arial" w:hAnsi="Arial" w:cs="Arial"/>
          <w:color w:val="000000" w:themeColor="text1"/>
        </w:rPr>
        <w:t xml:space="preserve">The median </w:t>
      </w:r>
      <w:r w:rsidRPr="00C324BF" w:rsidR="00BC367F">
        <w:rPr>
          <w:rFonts w:ascii="Arial" w:hAnsi="Arial" w:cs="Arial"/>
          <w:color w:val="000000" w:themeColor="text1"/>
        </w:rPr>
        <w:t xml:space="preserve">basic annual </w:t>
      </w:r>
      <w:r w:rsidRPr="00C324BF" w:rsidR="00DD46FD">
        <w:rPr>
          <w:rFonts w:ascii="Arial" w:hAnsi="Arial" w:cs="Arial"/>
          <w:color w:val="000000" w:themeColor="text1"/>
        </w:rPr>
        <w:t xml:space="preserve">salary in the range of salaries paid as at </w:t>
      </w:r>
      <w:r w:rsidRPr="00C324BF" w:rsidR="00A75CA9">
        <w:rPr>
          <w:rFonts w:ascii="Arial" w:hAnsi="Arial" w:cs="Arial"/>
          <w:color w:val="000000" w:themeColor="text1"/>
        </w:rPr>
        <w:t xml:space="preserve">31 December </w:t>
      </w:r>
      <w:r w:rsidRPr="00C324BF" w:rsidR="00C57BE8">
        <w:rPr>
          <w:rFonts w:ascii="Arial" w:hAnsi="Arial" w:cs="Arial"/>
          <w:color w:val="000000" w:themeColor="text1"/>
        </w:rPr>
        <w:t>20</w:t>
      </w:r>
      <w:r w:rsidRPr="00C324BF" w:rsidR="00C44260">
        <w:rPr>
          <w:rFonts w:ascii="Arial" w:hAnsi="Arial" w:cs="Arial"/>
          <w:color w:val="000000" w:themeColor="text1"/>
        </w:rPr>
        <w:t>2</w:t>
      </w:r>
      <w:r w:rsidR="003842B6">
        <w:rPr>
          <w:rFonts w:ascii="Arial" w:hAnsi="Arial" w:cs="Arial"/>
          <w:color w:val="000000" w:themeColor="text1"/>
        </w:rPr>
        <w:t>3</w:t>
      </w:r>
      <w:r w:rsidRPr="00C324BF" w:rsidR="00DD46FD">
        <w:rPr>
          <w:rFonts w:ascii="Arial" w:hAnsi="Arial" w:cs="Arial"/>
          <w:color w:val="000000" w:themeColor="text1"/>
        </w:rPr>
        <w:t xml:space="preserve"> is </w:t>
      </w:r>
      <w:r w:rsidRPr="00C324BF" w:rsidR="00373D07">
        <w:rPr>
          <w:rFonts w:ascii="Arial" w:hAnsi="Arial" w:cs="Arial"/>
        </w:rPr>
        <w:t>£</w:t>
      </w:r>
      <w:r w:rsidR="001F31E1">
        <w:rPr>
          <w:rFonts w:ascii="Arial" w:hAnsi="Arial" w:cs="Arial"/>
        </w:rPr>
        <w:t>31,605</w:t>
      </w:r>
      <w:r w:rsidRPr="00C324BF" w:rsidR="00DD46FD">
        <w:rPr>
          <w:rFonts w:ascii="Arial" w:hAnsi="Arial" w:cs="Arial"/>
          <w:color w:val="000000" w:themeColor="text1"/>
        </w:rPr>
        <w:t>.</w:t>
      </w:r>
      <w:r w:rsidRPr="00C324BF" w:rsidR="000A53F6">
        <w:rPr>
          <w:rFonts w:ascii="Arial" w:hAnsi="Arial" w:cs="Arial"/>
          <w:color w:val="000000" w:themeColor="text1"/>
        </w:rPr>
        <w:t xml:space="preserve"> </w:t>
      </w:r>
      <w:r w:rsidRPr="00C324BF" w:rsidR="00DD46FD">
        <w:rPr>
          <w:rFonts w:ascii="Arial" w:hAnsi="Arial" w:cs="Arial"/>
          <w:color w:val="000000" w:themeColor="text1"/>
        </w:rPr>
        <w:t xml:space="preserve">The </w:t>
      </w:r>
      <w:r w:rsidRPr="00C324BF" w:rsidR="00C355A3">
        <w:rPr>
          <w:rFonts w:ascii="Arial" w:hAnsi="Arial" w:cs="Arial"/>
          <w:color w:val="000000" w:themeColor="text1"/>
        </w:rPr>
        <w:t xml:space="preserve">mean </w:t>
      </w:r>
      <w:r w:rsidRPr="00C324BF" w:rsidR="00FD61A9">
        <w:rPr>
          <w:rFonts w:ascii="Arial" w:hAnsi="Arial" w:cs="Arial"/>
          <w:color w:val="000000" w:themeColor="text1"/>
        </w:rPr>
        <w:t xml:space="preserve">basic annual </w:t>
      </w:r>
      <w:r w:rsidRPr="00C324BF" w:rsidR="00C355A3">
        <w:rPr>
          <w:rFonts w:ascii="Arial" w:hAnsi="Arial" w:cs="Arial"/>
          <w:color w:val="000000" w:themeColor="text1"/>
        </w:rPr>
        <w:t xml:space="preserve">salary in the Council </w:t>
      </w:r>
      <w:r w:rsidRPr="00C324BF" w:rsidR="00DD46FD">
        <w:rPr>
          <w:rFonts w:ascii="Arial" w:hAnsi="Arial" w:cs="Arial"/>
          <w:color w:val="000000" w:themeColor="text1"/>
        </w:rPr>
        <w:t xml:space="preserve">paid as at </w:t>
      </w:r>
      <w:r w:rsidRPr="00C324BF" w:rsidR="00A75CA9">
        <w:rPr>
          <w:rFonts w:ascii="Arial" w:hAnsi="Arial" w:cs="Arial"/>
          <w:color w:val="000000" w:themeColor="text1"/>
        </w:rPr>
        <w:t xml:space="preserve">31 December </w:t>
      </w:r>
      <w:r w:rsidRPr="00C324BF" w:rsidR="003842B6">
        <w:rPr>
          <w:rFonts w:ascii="Arial" w:hAnsi="Arial" w:cs="Arial"/>
          <w:color w:val="000000" w:themeColor="text1"/>
        </w:rPr>
        <w:t>202</w:t>
      </w:r>
      <w:r w:rsidR="003842B6">
        <w:rPr>
          <w:rFonts w:ascii="Arial" w:hAnsi="Arial" w:cs="Arial"/>
          <w:color w:val="000000" w:themeColor="text1"/>
        </w:rPr>
        <w:t>3</w:t>
      </w:r>
      <w:r w:rsidRPr="00C324BF" w:rsidR="003842B6">
        <w:rPr>
          <w:rFonts w:ascii="Arial" w:hAnsi="Arial" w:cs="Arial"/>
          <w:color w:val="000000" w:themeColor="text1"/>
        </w:rPr>
        <w:t xml:space="preserve"> </w:t>
      </w:r>
      <w:r w:rsidRPr="00C324BF" w:rsidR="00DD46FD">
        <w:rPr>
          <w:rFonts w:ascii="Arial" w:hAnsi="Arial" w:cs="Arial"/>
          <w:color w:val="000000" w:themeColor="text1"/>
        </w:rPr>
        <w:t xml:space="preserve">is </w:t>
      </w:r>
      <w:r w:rsidRPr="00C324BF" w:rsidR="00373D07">
        <w:rPr>
          <w:rFonts w:ascii="Arial" w:hAnsi="Arial" w:cs="Arial"/>
        </w:rPr>
        <w:t>£</w:t>
      </w:r>
      <w:r w:rsidR="00367890">
        <w:rPr>
          <w:rFonts w:ascii="Arial" w:hAnsi="Arial" w:cs="Arial"/>
        </w:rPr>
        <w:t>36,387</w:t>
      </w:r>
      <w:r w:rsidRPr="00C324BF" w:rsidR="00DD46FD">
        <w:rPr>
          <w:rFonts w:ascii="Arial" w:hAnsi="Arial" w:cs="Arial"/>
          <w:color w:val="000000" w:themeColor="text1"/>
        </w:rPr>
        <w:t>. For the purpose of calculating the multiples referred to in paragraphs 2.</w:t>
      </w:r>
      <w:r w:rsidRPr="00C324BF" w:rsidR="00783247">
        <w:rPr>
          <w:rFonts w:ascii="Arial" w:hAnsi="Arial" w:cs="Arial"/>
          <w:color w:val="000000" w:themeColor="text1"/>
        </w:rPr>
        <w:t>3, 3.4</w:t>
      </w:r>
      <w:r w:rsidRPr="00C324BF" w:rsidR="007A29E7">
        <w:rPr>
          <w:rFonts w:ascii="Arial" w:hAnsi="Arial" w:cs="Arial"/>
          <w:color w:val="000000" w:themeColor="text1"/>
        </w:rPr>
        <w:t>, 4.</w:t>
      </w:r>
      <w:r w:rsidRPr="00C324BF" w:rsidR="00783247">
        <w:rPr>
          <w:rFonts w:ascii="Arial" w:hAnsi="Arial" w:cs="Arial"/>
          <w:color w:val="000000" w:themeColor="text1"/>
        </w:rPr>
        <w:t>7</w:t>
      </w:r>
      <w:r w:rsidRPr="00C324BF" w:rsidR="00DD46FD">
        <w:rPr>
          <w:rFonts w:ascii="Arial" w:hAnsi="Arial" w:cs="Arial"/>
          <w:color w:val="000000" w:themeColor="text1"/>
        </w:rPr>
        <w:t xml:space="preserve"> above and 7.1 to 7.3 below, the </w:t>
      </w:r>
      <w:r w:rsidRPr="00C324BF" w:rsidR="00CB2A43">
        <w:rPr>
          <w:rFonts w:ascii="Arial" w:hAnsi="Arial" w:cs="Arial"/>
          <w:color w:val="000000" w:themeColor="text1"/>
        </w:rPr>
        <w:t xml:space="preserve">mean </w:t>
      </w:r>
      <w:r w:rsidRPr="00C324BF" w:rsidR="00DD46FD">
        <w:rPr>
          <w:rFonts w:ascii="Arial" w:hAnsi="Arial" w:cs="Arial"/>
          <w:color w:val="000000" w:themeColor="text1"/>
        </w:rPr>
        <w:t>salary value is used as the denominator.</w:t>
      </w:r>
    </w:p>
    <w:p w:rsidRPr="007A69FA" w:rsidR="00DD46FD" w:rsidP="009707AF" w:rsidRDefault="00DD46FD" w14:paraId="3D2EF630" w14:textId="77777777">
      <w:pPr>
        <w:pStyle w:val="ListParagraph"/>
        <w:ind w:left="1418" w:hanging="992"/>
        <w:jc w:val="both"/>
        <w:rPr>
          <w:rFonts w:ascii="Arial" w:hAnsi="Arial" w:cs="Arial"/>
          <w:color w:val="000000" w:themeColor="text1"/>
          <w:sz w:val="24"/>
          <w:szCs w:val="24"/>
        </w:rPr>
      </w:pPr>
    </w:p>
    <w:p w:rsidRPr="007A69FA" w:rsidR="00DD46FD" w:rsidP="009707AF" w:rsidRDefault="00BB40FD" w14:paraId="4DA75CD7" w14:textId="77777777">
      <w:pPr>
        <w:pStyle w:val="ListParagraph"/>
        <w:numPr>
          <w:ilvl w:val="0"/>
          <w:numId w:val="13"/>
        </w:numPr>
        <w:tabs>
          <w:tab w:val="clear" w:pos="1425"/>
        </w:tabs>
        <w:ind w:left="851" w:hanging="851"/>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Remuneration of the lowest paid employees in the Council</w:t>
      </w:r>
    </w:p>
    <w:p w:rsidRPr="007A69FA" w:rsidR="00DD46FD" w:rsidP="009707AF" w:rsidRDefault="00DD46FD" w14:paraId="28A16FEF" w14:textId="77777777">
      <w:pPr>
        <w:pStyle w:val="ListParagraph"/>
        <w:ind w:left="851" w:hanging="851"/>
        <w:jc w:val="both"/>
        <w:rPr>
          <w:rFonts w:ascii="Arial" w:hAnsi="Arial" w:cs="Arial"/>
          <w:color w:val="000000" w:themeColor="text1"/>
          <w:sz w:val="24"/>
          <w:szCs w:val="24"/>
        </w:rPr>
      </w:pPr>
    </w:p>
    <w:p w:rsidRPr="007A69FA" w:rsidR="00DD46FD" w:rsidP="002A5F9A" w:rsidRDefault="00A75CA9" w14:paraId="544FF6C5" w14:textId="7CB404AB">
      <w:pPr>
        <w:pStyle w:val="ListParagraph"/>
        <w:numPr>
          <w:ilvl w:val="1"/>
          <w:numId w:val="13"/>
        </w:numPr>
        <w:tabs>
          <w:tab w:val="clear" w:pos="1425"/>
        </w:tabs>
        <w:spacing w:after="0" w:line="240" w:lineRule="auto"/>
        <w:ind w:left="851" w:hanging="851"/>
        <w:jc w:val="both"/>
        <w:rPr>
          <w:rFonts w:ascii="Arial" w:hAnsi="Arial" w:cs="Arial"/>
          <w:color w:val="000000" w:themeColor="text1"/>
          <w:sz w:val="24"/>
          <w:szCs w:val="24"/>
        </w:rPr>
      </w:pPr>
      <w:r w:rsidRPr="007A69FA">
        <w:rPr>
          <w:rFonts w:ascii="Arial" w:hAnsi="Arial" w:cs="Arial"/>
          <w:color w:val="000000" w:themeColor="text1"/>
          <w:sz w:val="24"/>
          <w:szCs w:val="24"/>
        </w:rPr>
        <w:t>Excluding apprentices, t</w:t>
      </w:r>
      <w:r w:rsidRPr="007A69FA" w:rsidR="00DD46FD">
        <w:rPr>
          <w:rFonts w:ascii="Arial" w:hAnsi="Arial" w:cs="Arial"/>
          <w:color w:val="000000" w:themeColor="text1"/>
          <w:sz w:val="24"/>
          <w:szCs w:val="24"/>
        </w:rPr>
        <w:t xml:space="preserve">he lowest paid employees are those employees paid on Grade 12 (see Table </w:t>
      </w:r>
      <w:r w:rsidRPr="007A69FA" w:rsidR="00ED0EB4">
        <w:rPr>
          <w:rFonts w:ascii="Arial" w:hAnsi="Arial" w:cs="Arial"/>
          <w:color w:val="000000" w:themeColor="text1"/>
          <w:sz w:val="24"/>
          <w:szCs w:val="24"/>
        </w:rPr>
        <w:t>E</w:t>
      </w:r>
      <w:r w:rsidRPr="007A69FA" w:rsidR="00DD46FD">
        <w:rPr>
          <w:rFonts w:ascii="Arial" w:hAnsi="Arial" w:cs="Arial"/>
          <w:color w:val="000000" w:themeColor="text1"/>
          <w:sz w:val="24"/>
          <w:szCs w:val="24"/>
        </w:rPr>
        <w:t xml:space="preserve"> above). In defining the ‘lowest paid employees’, this statement has taken cognisance of the Pay Policy Statements Guidance from the JNC for Local Authority </w:t>
      </w:r>
      <w:r w:rsidRPr="007A69FA" w:rsidR="00BA4699">
        <w:rPr>
          <w:rFonts w:ascii="Arial" w:hAnsi="Arial" w:cs="Arial"/>
          <w:color w:val="000000" w:themeColor="text1"/>
          <w:sz w:val="24"/>
          <w:szCs w:val="24"/>
        </w:rPr>
        <w:t>Chief Executives</w:t>
      </w:r>
      <w:r w:rsidRPr="007A69FA" w:rsidR="00DD46FD">
        <w:rPr>
          <w:rFonts w:ascii="Arial" w:hAnsi="Arial" w:cs="Arial"/>
          <w:color w:val="000000" w:themeColor="text1"/>
          <w:sz w:val="24"/>
          <w:szCs w:val="24"/>
        </w:rPr>
        <w:t xml:space="preserve"> dated 25 November 2011, which recommends using the lowest pay point routinely used by the Council for a competent employee in a substantive role, calculated a</w:t>
      </w:r>
      <w:r w:rsidRPr="007A69FA" w:rsidR="003F6FC1">
        <w:rPr>
          <w:rFonts w:ascii="Arial" w:hAnsi="Arial" w:cs="Arial"/>
          <w:color w:val="000000" w:themeColor="text1"/>
          <w:sz w:val="24"/>
          <w:szCs w:val="24"/>
        </w:rPr>
        <w:t xml:space="preserve">t full time equivalent. </w:t>
      </w:r>
      <w:r w:rsidRPr="007A69FA" w:rsidR="00DD46FD">
        <w:rPr>
          <w:rFonts w:ascii="Arial" w:hAnsi="Arial" w:cs="Arial"/>
          <w:color w:val="000000" w:themeColor="text1"/>
          <w:sz w:val="24"/>
          <w:szCs w:val="24"/>
        </w:rPr>
        <w:t xml:space="preserve">The lowest rate of pay for an employee assessed as being fully competent is the Market Related Point (MRP) </w:t>
      </w:r>
      <w:r w:rsidRPr="00167F58" w:rsidR="00DD46FD">
        <w:rPr>
          <w:rFonts w:ascii="Arial" w:hAnsi="Arial" w:cs="Arial"/>
          <w:color w:val="000000" w:themeColor="text1"/>
          <w:sz w:val="24"/>
          <w:szCs w:val="24"/>
        </w:rPr>
        <w:t>of</w:t>
      </w:r>
      <w:r w:rsidR="008C5169">
        <w:rPr>
          <w:rFonts w:ascii="Arial" w:hAnsi="Arial" w:cs="Arial"/>
          <w:color w:val="000000" w:themeColor="text1"/>
          <w:sz w:val="24"/>
          <w:szCs w:val="24"/>
        </w:rPr>
        <w:t xml:space="preserve"> </w:t>
      </w:r>
      <w:r w:rsidR="0012071B">
        <w:rPr>
          <w:rFonts w:ascii="Arial" w:hAnsi="Arial" w:cs="Arial"/>
          <w:color w:val="000000" w:themeColor="text1"/>
          <w:sz w:val="24"/>
          <w:szCs w:val="24"/>
        </w:rPr>
        <w:t>grade 12</w:t>
      </w:r>
      <w:r w:rsidRPr="00167F58" w:rsidR="00DD46FD">
        <w:rPr>
          <w:rFonts w:ascii="Arial" w:hAnsi="Arial" w:cs="Arial"/>
          <w:color w:val="000000" w:themeColor="text1"/>
          <w:sz w:val="24"/>
          <w:szCs w:val="24"/>
        </w:rPr>
        <w:t>.</w:t>
      </w:r>
      <w:r w:rsidRPr="007A69FA" w:rsidR="007D604A">
        <w:rPr>
          <w:rFonts w:ascii="Arial" w:hAnsi="Arial" w:cs="Arial"/>
          <w:color w:val="000000" w:themeColor="text1"/>
          <w:sz w:val="24"/>
          <w:szCs w:val="24"/>
        </w:rPr>
        <w:t xml:space="preserve"> </w:t>
      </w:r>
      <w:r w:rsidR="001F624D">
        <w:rPr>
          <w:rFonts w:ascii="Arial" w:hAnsi="Arial" w:cs="Arial"/>
          <w:color w:val="000000" w:themeColor="text1"/>
          <w:sz w:val="24"/>
          <w:szCs w:val="24"/>
        </w:rPr>
        <w:t>In 202</w:t>
      </w:r>
      <w:r w:rsidR="003842B6">
        <w:rPr>
          <w:rFonts w:ascii="Arial" w:hAnsi="Arial" w:cs="Arial"/>
          <w:color w:val="000000" w:themeColor="text1"/>
          <w:sz w:val="24"/>
          <w:szCs w:val="24"/>
        </w:rPr>
        <w:t>4</w:t>
      </w:r>
      <w:r w:rsidR="00D44088">
        <w:rPr>
          <w:rFonts w:ascii="Arial" w:hAnsi="Arial" w:cs="Arial"/>
          <w:color w:val="000000" w:themeColor="text1"/>
          <w:sz w:val="24"/>
          <w:szCs w:val="24"/>
        </w:rPr>
        <w:t>/2</w:t>
      </w:r>
      <w:r w:rsidR="003842B6">
        <w:rPr>
          <w:rFonts w:ascii="Arial" w:hAnsi="Arial" w:cs="Arial"/>
          <w:color w:val="000000" w:themeColor="text1"/>
          <w:sz w:val="24"/>
          <w:szCs w:val="24"/>
        </w:rPr>
        <w:t>5</w:t>
      </w:r>
      <w:r w:rsidR="001F624D">
        <w:rPr>
          <w:rFonts w:ascii="Arial" w:hAnsi="Arial" w:cs="Arial"/>
          <w:color w:val="000000" w:themeColor="text1"/>
          <w:sz w:val="24"/>
          <w:szCs w:val="24"/>
        </w:rPr>
        <w:t xml:space="preserve"> this will be</w:t>
      </w:r>
      <w:r w:rsidRPr="007A69FA" w:rsidR="007D604A">
        <w:rPr>
          <w:rFonts w:ascii="Arial" w:hAnsi="Arial" w:cs="Arial"/>
          <w:color w:val="000000" w:themeColor="text1"/>
          <w:sz w:val="24"/>
          <w:szCs w:val="24"/>
        </w:rPr>
        <w:t xml:space="preserve"> an hourly rate </w:t>
      </w:r>
      <w:r w:rsidRPr="00167F58" w:rsidR="007D604A">
        <w:rPr>
          <w:rFonts w:ascii="Arial" w:hAnsi="Arial" w:cs="Arial"/>
          <w:color w:val="000000" w:themeColor="text1"/>
          <w:sz w:val="24"/>
          <w:szCs w:val="24"/>
        </w:rPr>
        <w:t>of £</w:t>
      </w:r>
      <w:r w:rsidR="003E48AE">
        <w:rPr>
          <w:rFonts w:ascii="Arial" w:hAnsi="Arial" w:cs="Arial"/>
          <w:color w:val="000000" w:themeColor="text1"/>
          <w:sz w:val="24"/>
          <w:szCs w:val="24"/>
        </w:rPr>
        <w:t>12.4</w:t>
      </w:r>
      <w:r w:rsidR="000F7BFC">
        <w:rPr>
          <w:rFonts w:ascii="Arial" w:hAnsi="Arial" w:cs="Arial"/>
          <w:color w:val="000000" w:themeColor="text1"/>
          <w:sz w:val="24"/>
          <w:szCs w:val="24"/>
        </w:rPr>
        <w:t>5</w:t>
      </w:r>
      <w:r w:rsidRPr="00167F58" w:rsidR="00A02125">
        <w:rPr>
          <w:rFonts w:ascii="Arial" w:hAnsi="Arial" w:cs="Arial"/>
          <w:color w:val="000000" w:themeColor="text1"/>
          <w:sz w:val="24"/>
          <w:szCs w:val="24"/>
        </w:rPr>
        <w:t xml:space="preserve"> </w:t>
      </w:r>
      <w:r w:rsidRPr="00167F58" w:rsidR="007D604A">
        <w:rPr>
          <w:rFonts w:ascii="Arial" w:hAnsi="Arial" w:cs="Arial"/>
          <w:color w:val="000000" w:themeColor="text1"/>
          <w:sz w:val="24"/>
          <w:szCs w:val="24"/>
        </w:rPr>
        <w:t>which</w:t>
      </w:r>
      <w:r w:rsidRPr="007A69FA" w:rsidR="007D604A">
        <w:rPr>
          <w:rFonts w:ascii="Arial" w:hAnsi="Arial" w:cs="Arial"/>
          <w:color w:val="000000" w:themeColor="text1"/>
          <w:sz w:val="24"/>
          <w:szCs w:val="24"/>
        </w:rPr>
        <w:t xml:space="preserve"> compares favourably with the </w:t>
      </w:r>
      <w:r w:rsidR="001F624D">
        <w:rPr>
          <w:rFonts w:ascii="Arial" w:hAnsi="Arial" w:cs="Arial"/>
          <w:color w:val="000000" w:themeColor="text1"/>
          <w:sz w:val="24"/>
          <w:szCs w:val="24"/>
        </w:rPr>
        <w:t xml:space="preserve">new </w:t>
      </w:r>
      <w:r w:rsidRPr="007A69FA" w:rsidR="006011D6">
        <w:rPr>
          <w:rFonts w:ascii="Arial" w:hAnsi="Arial" w:cs="Arial"/>
          <w:color w:val="000000" w:themeColor="text1"/>
          <w:sz w:val="24"/>
          <w:szCs w:val="24"/>
        </w:rPr>
        <w:t>national living</w:t>
      </w:r>
      <w:r w:rsidRPr="007A69FA" w:rsidR="007D604A">
        <w:rPr>
          <w:rFonts w:ascii="Arial" w:hAnsi="Arial" w:cs="Arial"/>
          <w:color w:val="000000" w:themeColor="text1"/>
          <w:sz w:val="24"/>
          <w:szCs w:val="24"/>
        </w:rPr>
        <w:t xml:space="preserve"> wage of £</w:t>
      </w:r>
      <w:r w:rsidR="0012071B">
        <w:rPr>
          <w:rFonts w:ascii="Arial" w:hAnsi="Arial" w:cs="Arial"/>
          <w:color w:val="000000" w:themeColor="text1"/>
          <w:sz w:val="24"/>
          <w:szCs w:val="24"/>
        </w:rPr>
        <w:t>11.44</w:t>
      </w:r>
      <w:r w:rsidRPr="00CC2330" w:rsidR="006D2FA2">
        <w:rPr>
          <w:rFonts w:ascii="Arial" w:hAnsi="Arial" w:cs="Arial"/>
          <w:sz w:val="24"/>
          <w:szCs w:val="24"/>
        </w:rPr>
        <w:t xml:space="preserve"> </w:t>
      </w:r>
      <w:r w:rsidR="00DA334D">
        <w:rPr>
          <w:rFonts w:ascii="Arial" w:hAnsi="Arial" w:cs="Arial"/>
          <w:color w:val="000000" w:themeColor="text1"/>
          <w:sz w:val="24"/>
          <w:szCs w:val="24"/>
        </w:rPr>
        <w:t xml:space="preserve">(1 April </w:t>
      </w:r>
      <w:r w:rsidR="003842B6">
        <w:rPr>
          <w:rFonts w:ascii="Arial" w:hAnsi="Arial" w:cs="Arial"/>
          <w:color w:val="000000" w:themeColor="text1"/>
          <w:sz w:val="24"/>
          <w:szCs w:val="24"/>
        </w:rPr>
        <w:t>2024</w:t>
      </w:r>
      <w:r w:rsidRPr="00167F58" w:rsidR="006D2FA2">
        <w:rPr>
          <w:rFonts w:ascii="Arial" w:hAnsi="Arial" w:cs="Arial"/>
          <w:color w:val="000000" w:themeColor="text1"/>
          <w:sz w:val="24"/>
          <w:szCs w:val="24"/>
        </w:rPr>
        <w:t>)</w:t>
      </w:r>
      <w:r w:rsidR="0071215D">
        <w:rPr>
          <w:rFonts w:ascii="Arial" w:hAnsi="Arial" w:cs="Arial"/>
          <w:color w:val="000000" w:themeColor="text1"/>
          <w:sz w:val="24"/>
          <w:szCs w:val="24"/>
        </w:rPr>
        <w:t>.  T</w:t>
      </w:r>
      <w:r w:rsidR="00167F58">
        <w:rPr>
          <w:rFonts w:ascii="Arial" w:hAnsi="Arial" w:cs="Arial"/>
          <w:color w:val="000000" w:themeColor="text1"/>
          <w:sz w:val="24"/>
          <w:szCs w:val="24"/>
        </w:rPr>
        <w:t xml:space="preserve">he London Living Wage </w:t>
      </w:r>
      <w:r w:rsidR="0071215D">
        <w:rPr>
          <w:rFonts w:ascii="Arial" w:hAnsi="Arial" w:cs="Arial"/>
          <w:color w:val="000000" w:themeColor="text1"/>
          <w:sz w:val="24"/>
          <w:szCs w:val="24"/>
        </w:rPr>
        <w:t xml:space="preserve">for 2024/25 is </w:t>
      </w:r>
      <w:r w:rsidR="00167F58">
        <w:rPr>
          <w:rFonts w:ascii="Arial" w:hAnsi="Arial" w:cs="Arial"/>
          <w:color w:val="000000" w:themeColor="text1"/>
          <w:sz w:val="24"/>
          <w:szCs w:val="24"/>
        </w:rPr>
        <w:t>£</w:t>
      </w:r>
      <w:r w:rsidR="0012071B">
        <w:rPr>
          <w:rFonts w:ascii="Arial" w:hAnsi="Arial" w:cs="Arial"/>
          <w:color w:val="000000" w:themeColor="text1"/>
          <w:sz w:val="24"/>
          <w:szCs w:val="24"/>
        </w:rPr>
        <w:t>13.15</w:t>
      </w:r>
      <w:r w:rsidR="00167F58">
        <w:rPr>
          <w:rFonts w:ascii="Arial" w:hAnsi="Arial" w:cs="Arial"/>
          <w:color w:val="000000" w:themeColor="text1"/>
          <w:sz w:val="24"/>
          <w:szCs w:val="24"/>
        </w:rPr>
        <w:t xml:space="preserve"> per hour. </w:t>
      </w:r>
    </w:p>
    <w:p w:rsidRPr="007A69FA" w:rsidR="00DD46FD" w:rsidP="002A5F9A" w:rsidRDefault="00DD46FD" w14:paraId="1ABAC055" w14:textId="77777777">
      <w:pPr>
        <w:pStyle w:val="ListParagraph"/>
        <w:spacing w:after="0" w:line="240" w:lineRule="auto"/>
        <w:ind w:left="851" w:hanging="851"/>
        <w:jc w:val="both"/>
        <w:rPr>
          <w:rFonts w:ascii="Arial" w:hAnsi="Arial" w:cs="Arial"/>
          <w:color w:val="000000" w:themeColor="text1"/>
          <w:sz w:val="24"/>
          <w:szCs w:val="24"/>
        </w:rPr>
      </w:pPr>
    </w:p>
    <w:p w:rsidRPr="007A69FA" w:rsidR="00DD46FD" w:rsidP="002A5F9A" w:rsidRDefault="00DD46FD" w14:paraId="09712B6A" w14:textId="77777777">
      <w:pPr>
        <w:pStyle w:val="ListParagraph"/>
        <w:numPr>
          <w:ilvl w:val="1"/>
          <w:numId w:val="14"/>
        </w:numPr>
        <w:tabs>
          <w:tab w:val="clear" w:pos="1425"/>
        </w:tabs>
        <w:spacing w:after="0" w:line="240" w:lineRule="auto"/>
        <w:ind w:left="851" w:hanging="851"/>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There is the scope for employees in Grade 12 to earn overtime at premium rates and thus increase their overall earnings. However, this is subject to the need arising and is not conditioned overtime, so is difficult to estimate accurately. Also, the lowest paid employees in Grade 12 tend to be in roles where there is less scope for overtime to </w:t>
      </w:r>
      <w:r w:rsidRPr="007A69FA">
        <w:rPr>
          <w:rFonts w:ascii="Arial" w:hAnsi="Arial" w:cs="Arial"/>
          <w:color w:val="000000" w:themeColor="text1"/>
          <w:sz w:val="24"/>
          <w:szCs w:val="24"/>
        </w:rPr>
        <w:lastRenderedPageBreak/>
        <w:t>be available. Overtime payments have therefore been excluded from the definition.</w:t>
      </w:r>
    </w:p>
    <w:p w:rsidRPr="007A69FA" w:rsidR="00DD46FD" w:rsidP="00516D64" w:rsidRDefault="00DD46FD" w14:paraId="559B2D44" w14:textId="77777777">
      <w:pPr>
        <w:jc w:val="both"/>
        <w:rPr>
          <w:rFonts w:ascii="Arial" w:hAnsi="Arial" w:cs="Arial"/>
          <w:color w:val="000000" w:themeColor="text1"/>
        </w:rPr>
      </w:pPr>
    </w:p>
    <w:p w:rsidRPr="007A69FA" w:rsidR="00DD46FD" w:rsidP="009707AF" w:rsidRDefault="00BB40FD" w14:paraId="3D24668A" w14:textId="77777777">
      <w:pPr>
        <w:pStyle w:val="ListParagraph"/>
        <w:numPr>
          <w:ilvl w:val="0"/>
          <w:numId w:val="14"/>
        </w:numPr>
        <w:tabs>
          <w:tab w:val="clear" w:pos="1425"/>
        </w:tabs>
        <w:ind w:left="709" w:hanging="709"/>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Relationship between the remuneration of Chief Officers and the remuneration of other employees</w:t>
      </w:r>
    </w:p>
    <w:p w:rsidRPr="007A69FA" w:rsidR="00DD46FD" w:rsidP="009707AF" w:rsidRDefault="00DD46FD" w14:paraId="387E97FF" w14:textId="77777777">
      <w:pPr>
        <w:pStyle w:val="ListParagraph"/>
        <w:ind w:left="709" w:hanging="709"/>
        <w:jc w:val="both"/>
        <w:rPr>
          <w:rFonts w:ascii="Arial" w:hAnsi="Arial" w:cs="Arial"/>
          <w:b/>
          <w:color w:val="000000" w:themeColor="text1"/>
          <w:sz w:val="24"/>
          <w:szCs w:val="24"/>
        </w:rPr>
      </w:pPr>
    </w:p>
    <w:p w:rsidRPr="007A69FA" w:rsidR="00DD46FD" w:rsidP="002A5F9A" w:rsidRDefault="00DD46FD" w14:paraId="6B99DFA2" w14:textId="77777777">
      <w:pPr>
        <w:pStyle w:val="ListParagraph"/>
        <w:numPr>
          <w:ilvl w:val="1"/>
          <w:numId w:val="15"/>
        </w:numPr>
        <w:tabs>
          <w:tab w:val="clear" w:pos="1425"/>
        </w:tabs>
        <w:spacing w:after="0" w:line="240" w:lineRule="auto"/>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the highest paid officer in the Council, the </w:t>
      </w:r>
      <w:r w:rsidRPr="007A69FA" w:rsidR="00051185">
        <w:rPr>
          <w:rFonts w:ascii="Arial" w:hAnsi="Arial" w:cs="Arial"/>
          <w:color w:val="000000" w:themeColor="text1"/>
          <w:sz w:val="24"/>
          <w:szCs w:val="24"/>
        </w:rPr>
        <w:t>Managing Director</w:t>
      </w:r>
      <w:r w:rsidRPr="007A69FA">
        <w:rPr>
          <w:rFonts w:ascii="Arial" w:hAnsi="Arial" w:cs="Arial"/>
          <w:color w:val="000000" w:themeColor="text1"/>
          <w:sz w:val="24"/>
          <w:szCs w:val="24"/>
        </w:rPr>
        <w:t xml:space="preserve"> and the average FTE salary of other employees in the workforce is less than the maximum multiple of 6.5 allowed for by the Council’s policy. The Council is therefore content that having due regard for the disparity of responsibilities and personal accountability between these roles, a multiple of less than </w:t>
      </w:r>
      <w:r w:rsidRPr="007A69FA" w:rsidR="00393DE4">
        <w:rPr>
          <w:rFonts w:ascii="Arial" w:hAnsi="Arial" w:cs="Arial"/>
          <w:color w:val="000000" w:themeColor="text1"/>
          <w:sz w:val="24"/>
          <w:szCs w:val="24"/>
        </w:rPr>
        <w:t>6</w:t>
      </w:r>
      <w:r w:rsidRPr="007A69FA">
        <w:rPr>
          <w:rFonts w:ascii="Arial" w:hAnsi="Arial" w:cs="Arial"/>
          <w:color w:val="000000" w:themeColor="text1"/>
          <w:sz w:val="24"/>
          <w:szCs w:val="24"/>
        </w:rPr>
        <w:t xml:space="preserve">.5 is both justifiable and equitable. </w:t>
      </w:r>
      <w:r w:rsidRPr="007A69FA" w:rsidR="00CB2A43">
        <w:rPr>
          <w:rFonts w:ascii="Arial" w:hAnsi="Arial" w:cs="Arial"/>
          <w:color w:val="000000" w:themeColor="text1"/>
          <w:sz w:val="24"/>
          <w:szCs w:val="24"/>
        </w:rPr>
        <w:t xml:space="preserve"> </w:t>
      </w:r>
    </w:p>
    <w:p w:rsidRPr="007A69FA" w:rsidR="00DD46FD" w:rsidP="002A5F9A" w:rsidRDefault="00DD46FD" w14:paraId="09254D6E" w14:textId="77777777">
      <w:pPr>
        <w:pStyle w:val="ListParagraph"/>
        <w:spacing w:after="0" w:line="240" w:lineRule="auto"/>
        <w:ind w:left="709" w:hanging="709"/>
        <w:jc w:val="both"/>
        <w:rPr>
          <w:rFonts w:ascii="Arial" w:hAnsi="Arial" w:cs="Arial"/>
          <w:color w:val="000000" w:themeColor="text1"/>
          <w:sz w:val="24"/>
          <w:szCs w:val="24"/>
        </w:rPr>
      </w:pPr>
    </w:p>
    <w:p w:rsidRPr="007A69FA" w:rsidR="00DD46FD" w:rsidP="002A5F9A" w:rsidRDefault="00DD46FD" w14:paraId="771826EF" w14:textId="08555EA9">
      <w:pPr>
        <w:pStyle w:val="ListParagraph"/>
        <w:numPr>
          <w:ilvl w:val="1"/>
          <w:numId w:val="15"/>
        </w:numPr>
        <w:spacing w:after="0" w:line="240" w:lineRule="auto"/>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w:t>
      </w:r>
      <w:r w:rsidR="00001B04">
        <w:rPr>
          <w:rFonts w:ascii="Arial" w:hAnsi="Arial" w:cs="Arial"/>
          <w:color w:val="000000" w:themeColor="text1"/>
          <w:sz w:val="24"/>
          <w:szCs w:val="24"/>
        </w:rPr>
        <w:t>the Executive Director</w:t>
      </w:r>
      <w:r w:rsidRPr="007A69FA" w:rsidR="00286210">
        <w:rPr>
          <w:rFonts w:ascii="Arial" w:hAnsi="Arial" w:cs="Arial"/>
          <w:color w:val="000000" w:themeColor="text1"/>
          <w:sz w:val="24"/>
          <w:szCs w:val="24"/>
        </w:rPr>
        <w:t xml:space="preserve"> </w:t>
      </w:r>
      <w:r w:rsidRPr="007A69FA">
        <w:rPr>
          <w:rFonts w:ascii="Arial" w:hAnsi="Arial" w:cs="Arial"/>
          <w:color w:val="000000" w:themeColor="text1"/>
          <w:sz w:val="24"/>
          <w:szCs w:val="24"/>
        </w:rPr>
        <w:t>and the average FTE salary of all employees in the work</w:t>
      </w:r>
      <w:r w:rsidRPr="007A69FA" w:rsidR="008318F6">
        <w:rPr>
          <w:rFonts w:ascii="Arial" w:hAnsi="Arial" w:cs="Arial"/>
          <w:color w:val="000000" w:themeColor="text1"/>
          <w:sz w:val="24"/>
          <w:szCs w:val="24"/>
        </w:rPr>
        <w:t xml:space="preserve"> </w:t>
      </w:r>
      <w:r w:rsidRPr="007A69FA">
        <w:rPr>
          <w:rFonts w:ascii="Arial" w:hAnsi="Arial" w:cs="Arial"/>
          <w:color w:val="000000" w:themeColor="text1"/>
          <w:sz w:val="24"/>
          <w:szCs w:val="24"/>
        </w:rPr>
        <w:t>force, is less than the maximum multiple of 4.5 allowed for by the Council’s policy. The Council is therefore content that having due regard for the disparity of responsibilities and personal accountability between these roles, this multiple is both justifiable and equitable.</w:t>
      </w:r>
    </w:p>
    <w:p w:rsidRPr="007A69FA" w:rsidR="00DD46FD" w:rsidP="002A5F9A" w:rsidRDefault="00DD46FD" w14:paraId="749AA4F1" w14:textId="77777777">
      <w:pPr>
        <w:pStyle w:val="ListParagraph"/>
        <w:spacing w:after="0" w:line="240" w:lineRule="auto"/>
        <w:ind w:left="709" w:hanging="709"/>
        <w:jc w:val="both"/>
        <w:rPr>
          <w:rFonts w:ascii="Arial" w:hAnsi="Arial" w:cs="Arial"/>
          <w:color w:val="000000" w:themeColor="text1"/>
          <w:sz w:val="24"/>
          <w:szCs w:val="24"/>
        </w:rPr>
      </w:pPr>
    </w:p>
    <w:p w:rsidRPr="007A69FA" w:rsidR="00BB40FD" w:rsidP="002A5F9A" w:rsidRDefault="00DD46FD" w14:paraId="6BB6B725" w14:textId="77777777">
      <w:pPr>
        <w:pStyle w:val="ListParagraph"/>
        <w:numPr>
          <w:ilvl w:val="1"/>
          <w:numId w:val="15"/>
        </w:numPr>
        <w:spacing w:after="0" w:line="240" w:lineRule="auto"/>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Heads of Service </w:t>
      </w:r>
      <w:r w:rsidRPr="007A69FA" w:rsidR="00B4346F">
        <w:rPr>
          <w:rFonts w:ascii="Arial" w:hAnsi="Arial" w:cs="Arial"/>
          <w:color w:val="000000" w:themeColor="text1"/>
          <w:sz w:val="24"/>
          <w:szCs w:val="24"/>
        </w:rPr>
        <w:t xml:space="preserve">Plus and Heads of Service </w:t>
      </w:r>
      <w:r w:rsidRPr="007A69FA">
        <w:rPr>
          <w:rFonts w:ascii="Arial" w:hAnsi="Arial" w:cs="Arial"/>
          <w:color w:val="000000" w:themeColor="text1"/>
          <w:sz w:val="24"/>
          <w:szCs w:val="24"/>
        </w:rPr>
        <w:t>and the average FTE salary of all employees in the workforce is les</w:t>
      </w:r>
      <w:r w:rsidRPr="007A69FA" w:rsidR="00B4346F">
        <w:rPr>
          <w:rFonts w:ascii="Arial" w:hAnsi="Arial" w:cs="Arial"/>
          <w:color w:val="000000" w:themeColor="text1"/>
          <w:sz w:val="24"/>
          <w:szCs w:val="24"/>
        </w:rPr>
        <w:t xml:space="preserve">s than the maximum multiples of 3.5 and 3 </w:t>
      </w:r>
      <w:r w:rsidRPr="007A69FA">
        <w:rPr>
          <w:rFonts w:ascii="Arial" w:hAnsi="Arial" w:cs="Arial"/>
          <w:color w:val="000000" w:themeColor="text1"/>
          <w:sz w:val="24"/>
          <w:szCs w:val="24"/>
        </w:rPr>
        <w:t>allowed for by the Council’s policy. The Council is therefore content that having due regard for the disparity of responsibilities and personal accountability between these roles, this multiple is both justifiable and equitable.</w:t>
      </w:r>
      <w:r w:rsidRPr="007A69FA" w:rsidR="00110198">
        <w:rPr>
          <w:rFonts w:ascii="Arial" w:hAnsi="Arial" w:cs="Arial"/>
          <w:color w:val="000000" w:themeColor="text1"/>
          <w:sz w:val="24"/>
          <w:szCs w:val="24"/>
        </w:rPr>
        <w:t xml:space="preserve"> </w:t>
      </w:r>
    </w:p>
    <w:p w:rsidRPr="007A69FA" w:rsidR="008A6F57" w:rsidP="002A5F9A" w:rsidRDefault="008A6F57" w14:paraId="5B9D018C" w14:textId="77777777">
      <w:pPr>
        <w:pStyle w:val="ListParagraph"/>
        <w:spacing w:after="0" w:line="240" w:lineRule="auto"/>
        <w:ind w:left="709"/>
        <w:jc w:val="both"/>
        <w:rPr>
          <w:rFonts w:ascii="Arial" w:hAnsi="Arial" w:cs="Arial"/>
          <w:color w:val="000000" w:themeColor="text1"/>
          <w:sz w:val="24"/>
          <w:szCs w:val="24"/>
        </w:rPr>
      </w:pPr>
    </w:p>
    <w:p w:rsidRPr="007A69FA" w:rsidR="00DD46FD" w:rsidP="002A5F9A" w:rsidRDefault="00BB40FD" w14:paraId="3151427C" w14:textId="77777777">
      <w:pPr>
        <w:pStyle w:val="ListParagraph"/>
        <w:numPr>
          <w:ilvl w:val="0"/>
          <w:numId w:val="15"/>
        </w:numPr>
        <w:spacing w:after="0" w:line="240" w:lineRule="auto"/>
        <w:ind w:left="709" w:hanging="567"/>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Severance Payments</w:t>
      </w:r>
    </w:p>
    <w:p w:rsidRPr="007A69FA" w:rsidR="00DD46FD" w:rsidP="002A5F9A" w:rsidRDefault="00DD46FD" w14:paraId="157054BC" w14:textId="77777777">
      <w:pPr>
        <w:pStyle w:val="ListParagraph"/>
        <w:spacing w:after="0" w:line="240" w:lineRule="auto"/>
        <w:ind w:left="709" w:hanging="567"/>
        <w:jc w:val="both"/>
        <w:rPr>
          <w:rFonts w:ascii="Arial" w:hAnsi="Arial" w:cs="Arial"/>
          <w:b/>
          <w:color w:val="000000" w:themeColor="text1"/>
          <w:sz w:val="24"/>
          <w:szCs w:val="24"/>
        </w:rPr>
      </w:pPr>
    </w:p>
    <w:p w:rsidRPr="007A69FA" w:rsidR="00DD46FD" w:rsidP="002A5F9A" w:rsidRDefault="00DD46FD" w14:paraId="116F60EE" w14:textId="77777777">
      <w:pPr>
        <w:pStyle w:val="ListParagraph"/>
        <w:numPr>
          <w:ilvl w:val="1"/>
          <w:numId w:val="15"/>
        </w:numPr>
        <w:tabs>
          <w:tab w:val="clear" w:pos="1425"/>
        </w:tabs>
        <w:spacing w:after="0" w:line="240" w:lineRule="auto"/>
        <w:ind w:left="709" w:hanging="567"/>
        <w:jc w:val="both"/>
        <w:rPr>
          <w:rFonts w:ascii="Arial" w:hAnsi="Arial" w:cs="Arial"/>
          <w:color w:val="000000" w:themeColor="text1"/>
          <w:sz w:val="24"/>
          <w:szCs w:val="24"/>
        </w:rPr>
      </w:pPr>
      <w:r w:rsidRPr="007A69FA">
        <w:rPr>
          <w:rFonts w:ascii="Arial" w:hAnsi="Arial" w:cs="Arial"/>
          <w:color w:val="000000" w:themeColor="text1"/>
          <w:sz w:val="24"/>
          <w:szCs w:val="24"/>
        </w:rPr>
        <w:t xml:space="preserve">Senior staff in the Council are treated in the same way as all other staff with regard to the calculation of severance payments in situations of redundancy. The policy on the calculation of redundancy payments is that </w:t>
      </w:r>
      <w:r w:rsidRPr="007A69FA" w:rsidR="008B293E">
        <w:rPr>
          <w:rFonts w:ascii="Arial" w:hAnsi="Arial" w:cs="Arial"/>
          <w:color w:val="000000" w:themeColor="text1"/>
          <w:sz w:val="24"/>
          <w:szCs w:val="24"/>
        </w:rPr>
        <w:t>it is based on the number of weeks in the s</w:t>
      </w:r>
      <w:r w:rsidRPr="007A69FA">
        <w:rPr>
          <w:rFonts w:ascii="Arial" w:hAnsi="Arial" w:cs="Arial"/>
          <w:color w:val="000000" w:themeColor="text1"/>
          <w:sz w:val="24"/>
          <w:szCs w:val="24"/>
        </w:rPr>
        <w:t>tatutory calculator and based on actual pay</w:t>
      </w:r>
      <w:r w:rsidRPr="007A69FA" w:rsidR="008B293E">
        <w:rPr>
          <w:rFonts w:ascii="Arial" w:hAnsi="Arial" w:cs="Arial"/>
          <w:color w:val="000000" w:themeColor="text1"/>
          <w:sz w:val="24"/>
          <w:szCs w:val="24"/>
        </w:rPr>
        <w:t>.</w:t>
      </w:r>
      <w:r w:rsidRPr="007A69FA">
        <w:rPr>
          <w:rFonts w:ascii="Arial" w:hAnsi="Arial" w:cs="Arial"/>
          <w:color w:val="000000" w:themeColor="text1"/>
          <w:sz w:val="24"/>
          <w:szCs w:val="24"/>
        </w:rPr>
        <w:t xml:space="preserve"> </w:t>
      </w:r>
    </w:p>
    <w:p w:rsidRPr="007A69FA" w:rsidR="00DD46FD" w:rsidP="002A5F9A" w:rsidRDefault="00DD46FD" w14:paraId="78E63983" w14:textId="77777777">
      <w:pPr>
        <w:pStyle w:val="ListParagraph"/>
        <w:spacing w:after="0" w:line="240" w:lineRule="auto"/>
        <w:ind w:left="709" w:hanging="567"/>
        <w:jc w:val="both"/>
        <w:rPr>
          <w:rFonts w:ascii="Arial" w:hAnsi="Arial" w:cs="Arial"/>
          <w:color w:val="000000" w:themeColor="text1"/>
          <w:sz w:val="24"/>
          <w:szCs w:val="24"/>
        </w:rPr>
      </w:pPr>
    </w:p>
    <w:p w:rsidRPr="007A69FA" w:rsidR="009F7EDC" w:rsidP="002A5F9A" w:rsidRDefault="00DD46FD" w14:paraId="3339597E" w14:textId="77777777">
      <w:pPr>
        <w:pStyle w:val="ListParagraph"/>
        <w:numPr>
          <w:ilvl w:val="1"/>
          <w:numId w:val="15"/>
        </w:numPr>
        <w:tabs>
          <w:tab w:val="clear" w:pos="1425"/>
        </w:tabs>
        <w:spacing w:after="0" w:line="240" w:lineRule="auto"/>
        <w:ind w:left="709" w:hanging="567"/>
        <w:jc w:val="both"/>
        <w:rPr>
          <w:rStyle w:val="textrunscx131830464"/>
          <w:rFonts w:ascii="Arial" w:hAnsi="Arial" w:cs="Arial"/>
          <w:color w:val="000000" w:themeColor="text1"/>
          <w:sz w:val="24"/>
          <w:szCs w:val="24"/>
        </w:rPr>
      </w:pPr>
      <w:r w:rsidRPr="007A69FA">
        <w:rPr>
          <w:rFonts w:ascii="Arial" w:hAnsi="Arial" w:cs="Arial"/>
          <w:color w:val="000000" w:themeColor="text1"/>
          <w:sz w:val="24"/>
          <w:szCs w:val="24"/>
        </w:rPr>
        <w:t xml:space="preserve">With regard to severances under </w:t>
      </w:r>
      <w:r w:rsidRPr="007A69FA" w:rsidR="00357821">
        <w:rPr>
          <w:rFonts w:ascii="Arial" w:hAnsi="Arial" w:cs="Arial"/>
          <w:color w:val="000000" w:themeColor="text1"/>
          <w:sz w:val="24"/>
          <w:szCs w:val="24"/>
        </w:rPr>
        <w:t>settlement</w:t>
      </w:r>
      <w:r w:rsidRPr="007A69FA">
        <w:rPr>
          <w:rFonts w:ascii="Arial" w:hAnsi="Arial" w:cs="Arial"/>
          <w:color w:val="000000" w:themeColor="text1"/>
          <w:sz w:val="24"/>
          <w:szCs w:val="24"/>
        </w:rPr>
        <w:t xml:space="preserve"> agreements, which may be for reasons other than redundancy, e.g. voluntary severance or dispute resolution, the </w:t>
      </w:r>
      <w:r w:rsidRPr="007A69FA" w:rsidR="00051185">
        <w:rPr>
          <w:rFonts w:ascii="Arial" w:hAnsi="Arial" w:cs="Arial"/>
          <w:color w:val="000000" w:themeColor="text1"/>
          <w:sz w:val="24"/>
          <w:szCs w:val="24"/>
        </w:rPr>
        <w:t>Managing Director</w:t>
      </w:r>
      <w:r w:rsidRPr="007A69FA">
        <w:rPr>
          <w:rFonts w:ascii="Arial" w:hAnsi="Arial" w:cs="Arial"/>
          <w:color w:val="000000" w:themeColor="text1"/>
          <w:sz w:val="24"/>
          <w:szCs w:val="24"/>
        </w:rPr>
        <w:t>, as Head of the Paid Service, has delegated authority to conclude such agreements with staff below Head of Service level</w:t>
      </w:r>
      <w:r w:rsidRPr="007A69FA">
        <w:rPr>
          <w:rStyle w:val="textrunscx131830464"/>
          <w:rFonts w:ascii="Arial" w:hAnsi="Arial" w:cs="Arial"/>
          <w:color w:val="000000" w:themeColor="text1"/>
          <w:sz w:val="24"/>
          <w:szCs w:val="24"/>
        </w:rPr>
        <w:t xml:space="preserve">, following consultation with the Leader of the Council, the Chairman of the Personnel Committee and the Portfolio Holder with responsibility for Human Resources. In agreeing the terms for such cases of severance, consideration </w:t>
      </w:r>
      <w:r w:rsidRPr="007A69FA" w:rsidR="00CC6B8C">
        <w:rPr>
          <w:rStyle w:val="textrunscx131830464"/>
          <w:rFonts w:ascii="Arial" w:hAnsi="Arial" w:cs="Arial"/>
          <w:color w:val="000000" w:themeColor="text1"/>
          <w:sz w:val="24"/>
          <w:szCs w:val="24"/>
        </w:rPr>
        <w:t xml:space="preserve">is </w:t>
      </w:r>
      <w:r w:rsidRPr="007A69FA">
        <w:rPr>
          <w:rStyle w:val="textrunscx131830464"/>
          <w:rFonts w:ascii="Arial" w:hAnsi="Arial" w:cs="Arial"/>
          <w:color w:val="000000" w:themeColor="text1"/>
          <w:sz w:val="24"/>
          <w:szCs w:val="24"/>
        </w:rPr>
        <w:t xml:space="preserve">given to ensuring that the </w:t>
      </w:r>
      <w:proofErr w:type="spellStart"/>
      <w:r w:rsidRPr="007A69FA">
        <w:rPr>
          <w:rStyle w:val="textrunscx131830464"/>
          <w:rFonts w:ascii="Arial" w:hAnsi="Arial" w:cs="Arial"/>
          <w:color w:val="000000" w:themeColor="text1"/>
          <w:sz w:val="24"/>
          <w:szCs w:val="24"/>
        </w:rPr>
        <w:t>Wednesbury</w:t>
      </w:r>
      <w:proofErr w:type="spellEnd"/>
      <w:r w:rsidRPr="007A69FA">
        <w:rPr>
          <w:rStyle w:val="textrunscx131830464"/>
          <w:rFonts w:ascii="Arial" w:hAnsi="Arial" w:cs="Arial"/>
          <w:color w:val="000000" w:themeColor="text1"/>
          <w:sz w:val="24"/>
          <w:szCs w:val="24"/>
        </w:rPr>
        <w:t xml:space="preserve"> Principles are upheld i.e. that the costs are justifiable in light of the circumstances and that the proposed outcome is in the best interests of the authority and represents a proper use of public funds. Where appropriate, the Head of the Paid Service will consult the Council’s Section 151 Officer and External Auditors on individual cases.</w:t>
      </w:r>
      <w:r w:rsidRPr="007A69FA" w:rsidR="009F7EDC">
        <w:rPr>
          <w:rStyle w:val="textrunscx131830464"/>
          <w:rFonts w:ascii="Arial" w:hAnsi="Arial" w:cs="Arial"/>
          <w:color w:val="000000" w:themeColor="text1"/>
          <w:sz w:val="24"/>
          <w:szCs w:val="24"/>
        </w:rPr>
        <w:br/>
      </w:r>
    </w:p>
    <w:p w:rsidRPr="007A69FA" w:rsidR="009F7EDC" w:rsidP="009F7EDC" w:rsidRDefault="00DD46FD" w14:paraId="3A2AF6D6" w14:textId="01C579AC">
      <w:pPr>
        <w:pStyle w:val="ListParagraph"/>
        <w:numPr>
          <w:ilvl w:val="1"/>
          <w:numId w:val="15"/>
        </w:numPr>
        <w:tabs>
          <w:tab w:val="clear" w:pos="1425"/>
        </w:tabs>
        <w:ind w:left="709" w:hanging="567"/>
        <w:rPr>
          <w:rFonts w:ascii="Arial" w:hAnsi="Arial" w:cs="Arial"/>
          <w:color w:val="000000" w:themeColor="text1"/>
          <w:sz w:val="24"/>
          <w:szCs w:val="24"/>
        </w:rPr>
      </w:pPr>
      <w:r w:rsidRPr="007A69FA">
        <w:rPr>
          <w:rFonts w:ascii="Arial" w:hAnsi="Arial" w:cs="Arial"/>
          <w:color w:val="000000" w:themeColor="text1"/>
          <w:sz w:val="24"/>
          <w:szCs w:val="24"/>
        </w:rPr>
        <w:lastRenderedPageBreak/>
        <w:t xml:space="preserve">However, this delegation does not extend to cases involving staff at Head of Service level or above, and any such cases are reported to the Personnel Committee for agreement, subject to the </w:t>
      </w:r>
      <w:r w:rsidR="007476DD">
        <w:rPr>
          <w:rFonts w:ascii="Arial" w:hAnsi="Arial" w:cs="Arial"/>
          <w:color w:val="000000" w:themeColor="text1"/>
          <w:sz w:val="24"/>
          <w:szCs w:val="24"/>
        </w:rPr>
        <w:t>Cabinet</w:t>
      </w:r>
      <w:r w:rsidRPr="007A69FA" w:rsidR="007476DD">
        <w:rPr>
          <w:rFonts w:ascii="Arial" w:hAnsi="Arial" w:cs="Arial"/>
          <w:color w:val="000000" w:themeColor="text1"/>
          <w:sz w:val="24"/>
          <w:szCs w:val="24"/>
        </w:rPr>
        <w:t xml:space="preserve"> </w:t>
      </w:r>
      <w:r w:rsidRPr="007A69FA">
        <w:rPr>
          <w:rFonts w:ascii="Arial" w:hAnsi="Arial" w:cs="Arial"/>
          <w:color w:val="000000" w:themeColor="text1"/>
          <w:sz w:val="24"/>
          <w:szCs w:val="24"/>
        </w:rPr>
        <w:t>agreeing the financial implications.</w:t>
      </w:r>
      <w:r w:rsidRPr="007A69FA" w:rsidR="009F7EDC">
        <w:rPr>
          <w:rFonts w:ascii="Arial" w:hAnsi="Arial" w:cs="Arial"/>
          <w:color w:val="000000" w:themeColor="text1"/>
          <w:sz w:val="24"/>
          <w:szCs w:val="24"/>
        </w:rPr>
        <w:br/>
      </w:r>
    </w:p>
    <w:p w:rsidR="0002275C" w:rsidP="00C324BF" w:rsidRDefault="00A7779E" w14:paraId="49C3792A" w14:textId="02873257">
      <w:pPr>
        <w:pStyle w:val="ListParagraph"/>
        <w:numPr>
          <w:ilvl w:val="1"/>
          <w:numId w:val="15"/>
        </w:numPr>
        <w:tabs>
          <w:tab w:val="clear" w:pos="1425"/>
        </w:tabs>
        <w:ind w:left="709" w:hanging="567"/>
        <w:rPr>
          <w:rFonts w:ascii="Arial" w:hAnsi="Arial" w:cs="Arial"/>
          <w:color w:val="000000" w:themeColor="text1"/>
          <w:sz w:val="24"/>
          <w:szCs w:val="24"/>
        </w:rPr>
      </w:pPr>
      <w:r w:rsidRPr="007A69FA">
        <w:rPr>
          <w:rFonts w:ascii="Arial" w:hAnsi="Arial" w:cs="Arial"/>
          <w:color w:val="000000" w:themeColor="text1"/>
          <w:sz w:val="24"/>
          <w:szCs w:val="24"/>
        </w:rPr>
        <w:t xml:space="preserve">There have been no severance payments </w:t>
      </w:r>
      <w:r w:rsidR="00DA334D">
        <w:rPr>
          <w:rFonts w:ascii="Arial" w:hAnsi="Arial" w:cs="Arial"/>
          <w:color w:val="000000" w:themeColor="text1"/>
          <w:sz w:val="24"/>
          <w:szCs w:val="24"/>
        </w:rPr>
        <w:t xml:space="preserve">over £100,000 to report in </w:t>
      </w:r>
      <w:r w:rsidR="007476DD">
        <w:rPr>
          <w:rFonts w:ascii="Arial" w:hAnsi="Arial" w:cs="Arial"/>
          <w:color w:val="000000" w:themeColor="text1"/>
          <w:sz w:val="24"/>
          <w:szCs w:val="24"/>
        </w:rPr>
        <w:t>2023</w:t>
      </w:r>
      <w:r w:rsidR="00DA334D">
        <w:rPr>
          <w:rFonts w:ascii="Arial" w:hAnsi="Arial" w:cs="Arial"/>
          <w:color w:val="000000" w:themeColor="text1"/>
          <w:sz w:val="24"/>
          <w:szCs w:val="24"/>
        </w:rPr>
        <w:t>/</w:t>
      </w:r>
      <w:r w:rsidR="007476DD">
        <w:rPr>
          <w:rFonts w:ascii="Arial" w:hAnsi="Arial" w:cs="Arial"/>
          <w:color w:val="000000" w:themeColor="text1"/>
          <w:sz w:val="24"/>
          <w:szCs w:val="24"/>
        </w:rPr>
        <w:t>24</w:t>
      </w:r>
      <w:r w:rsidRPr="007A69FA" w:rsidR="00822600">
        <w:rPr>
          <w:rFonts w:ascii="Arial" w:hAnsi="Arial" w:cs="Arial"/>
          <w:color w:val="000000" w:themeColor="text1"/>
          <w:sz w:val="24"/>
          <w:szCs w:val="24"/>
        </w:rPr>
        <w:t>.</w:t>
      </w:r>
    </w:p>
    <w:p w:rsidR="0002275C" w:rsidP="0002275C" w:rsidRDefault="0002275C" w14:paraId="17A2EE47" w14:textId="20FA2205">
      <w:pPr>
        <w:ind w:left="142"/>
        <w:rPr>
          <w:rFonts w:ascii="Arial" w:hAnsi="Arial" w:cs="Arial"/>
          <w:b/>
          <w:color w:val="000000" w:themeColor="text1"/>
          <w:u w:val="single"/>
        </w:rPr>
      </w:pPr>
      <w:r>
        <w:rPr>
          <w:rFonts w:ascii="Arial" w:hAnsi="Arial" w:cs="Arial"/>
          <w:color w:val="000000" w:themeColor="text1"/>
        </w:rPr>
        <w:t>9.</w:t>
      </w:r>
      <w:r>
        <w:rPr>
          <w:rFonts w:ascii="Arial" w:hAnsi="Arial" w:cs="Arial"/>
          <w:color w:val="000000" w:themeColor="text1"/>
        </w:rPr>
        <w:tab/>
      </w:r>
      <w:r w:rsidRPr="0002275C">
        <w:rPr>
          <w:rFonts w:ascii="Arial" w:hAnsi="Arial" w:cs="Arial"/>
          <w:b/>
          <w:color w:val="000000" w:themeColor="text1"/>
          <w:u w:val="single"/>
        </w:rPr>
        <w:t>Gender Pay Gap</w:t>
      </w:r>
    </w:p>
    <w:p w:rsidR="0002275C" w:rsidP="0002275C" w:rsidRDefault="0002275C" w14:paraId="36F7E62B" w14:textId="2CF9237E">
      <w:pPr>
        <w:ind w:left="142"/>
        <w:rPr>
          <w:rFonts w:ascii="Arial" w:hAnsi="Arial" w:cs="Arial"/>
          <w:color w:val="000000" w:themeColor="text1"/>
        </w:rPr>
      </w:pPr>
    </w:p>
    <w:p w:rsidR="00085D83" w:rsidP="0002275C" w:rsidRDefault="0002275C" w14:paraId="4E8A652C" w14:textId="3FE80BD9">
      <w:pPr>
        <w:ind w:left="720" w:hanging="578"/>
        <w:rPr>
          <w:rFonts w:ascii="Arial" w:hAnsi="Arial" w:cs="Arial"/>
        </w:rPr>
      </w:pPr>
      <w:r>
        <w:rPr>
          <w:rFonts w:ascii="Arial" w:hAnsi="Arial" w:cs="Arial"/>
          <w:color w:val="000000" w:themeColor="text1"/>
        </w:rPr>
        <w:t>9.1</w:t>
      </w:r>
      <w:r>
        <w:rPr>
          <w:rFonts w:ascii="Arial" w:hAnsi="Arial" w:cs="Arial"/>
          <w:color w:val="000000" w:themeColor="text1"/>
        </w:rPr>
        <w:tab/>
      </w:r>
      <w:r w:rsidRPr="0002275C" w:rsidR="00085D83">
        <w:rPr>
          <w:rFonts w:ascii="Arial" w:hAnsi="Arial" w:cs="Arial"/>
        </w:rPr>
        <w:t xml:space="preserve">The gender pay gap shows the difference in the average hourly pay between all </w:t>
      </w:r>
      <w:r>
        <w:rPr>
          <w:rFonts w:ascii="Arial" w:hAnsi="Arial" w:cs="Arial"/>
        </w:rPr>
        <w:t>males</w:t>
      </w:r>
      <w:r w:rsidRPr="0002275C" w:rsidR="00085D83">
        <w:rPr>
          <w:rFonts w:ascii="Arial" w:hAnsi="Arial" w:cs="Arial"/>
        </w:rPr>
        <w:t xml:space="preserve"> and </w:t>
      </w:r>
      <w:r>
        <w:rPr>
          <w:rFonts w:ascii="Arial" w:hAnsi="Arial" w:cs="Arial"/>
        </w:rPr>
        <w:t>females</w:t>
      </w:r>
      <w:r w:rsidRPr="0002275C" w:rsidR="00085D83">
        <w:rPr>
          <w:rFonts w:ascii="Arial" w:hAnsi="Arial" w:cs="Arial"/>
        </w:rPr>
        <w:t xml:space="preserve"> in a workforce. If a workforce has a particularly high gender pay gap, this can indicate there may be a number of issues to deal with. The gender pay gap is different to equal pay. Equal pay deals with</w:t>
      </w:r>
      <w:r>
        <w:rPr>
          <w:rFonts w:ascii="Arial" w:hAnsi="Arial" w:cs="Arial"/>
        </w:rPr>
        <w:t xml:space="preserve"> the pay differences between males and females</w:t>
      </w:r>
      <w:r w:rsidRPr="0002275C" w:rsidR="00085D83">
        <w:rPr>
          <w:rFonts w:ascii="Arial" w:hAnsi="Arial" w:cs="Arial"/>
        </w:rPr>
        <w:t xml:space="preserve"> who carry out the same jobs, similar jobs or work of equal value. It is unlawful to pay people unequally because they are a</w:t>
      </w:r>
      <w:r>
        <w:rPr>
          <w:rFonts w:ascii="Arial" w:hAnsi="Arial" w:cs="Arial"/>
        </w:rPr>
        <w:t xml:space="preserve"> male or a female</w:t>
      </w:r>
      <w:r w:rsidRPr="0002275C" w:rsidR="00085D83">
        <w:rPr>
          <w:rFonts w:ascii="Arial" w:hAnsi="Arial" w:cs="Arial"/>
        </w:rPr>
        <w:t>.</w:t>
      </w:r>
    </w:p>
    <w:p w:rsidR="0002275C" w:rsidP="0002275C" w:rsidRDefault="0002275C" w14:paraId="661A476F" w14:textId="475FC250">
      <w:pPr>
        <w:ind w:left="720" w:hanging="578"/>
        <w:rPr>
          <w:rFonts w:ascii="Arial" w:hAnsi="Arial" w:cs="Arial"/>
          <w:color w:val="000000" w:themeColor="text1"/>
        </w:rPr>
      </w:pPr>
    </w:p>
    <w:p w:rsidR="00085D83" w:rsidP="0002275C" w:rsidRDefault="0002275C" w14:paraId="35D1B283" w14:textId="4EFB9A4F">
      <w:pPr>
        <w:ind w:left="720" w:hanging="578"/>
        <w:rPr>
          <w:rFonts w:ascii="Arial" w:hAnsi="Arial" w:cs="Arial"/>
        </w:rPr>
      </w:pPr>
      <w:r>
        <w:rPr>
          <w:rFonts w:ascii="Arial" w:hAnsi="Arial" w:cs="Arial"/>
          <w:color w:val="000000" w:themeColor="text1"/>
        </w:rPr>
        <w:t>9.2</w:t>
      </w:r>
      <w:r>
        <w:rPr>
          <w:rFonts w:ascii="Arial" w:hAnsi="Arial" w:cs="Arial"/>
          <w:color w:val="000000" w:themeColor="text1"/>
        </w:rPr>
        <w:tab/>
      </w:r>
      <w:r w:rsidRPr="0002275C" w:rsidR="00085D83">
        <w:rPr>
          <w:rFonts w:ascii="Arial" w:hAnsi="Arial" w:cs="Arial"/>
        </w:rPr>
        <w:t xml:space="preserve">Hertsmere Borough Council’s gender pay gap report as at the snapshot date of </w:t>
      </w:r>
      <w:r w:rsidRPr="0002275C" w:rsidR="00085D83">
        <w:rPr>
          <w:rFonts w:ascii="Arial" w:hAnsi="Arial" w:cs="Arial"/>
          <w:b/>
        </w:rPr>
        <w:t>31 March 202</w:t>
      </w:r>
      <w:r w:rsidRPr="0002275C" w:rsidR="007476DD">
        <w:rPr>
          <w:rFonts w:ascii="Arial" w:hAnsi="Arial" w:cs="Arial"/>
          <w:b/>
        </w:rPr>
        <w:t>3</w:t>
      </w:r>
      <w:r w:rsidRPr="0002275C" w:rsidR="00085D83">
        <w:rPr>
          <w:rFonts w:ascii="Arial" w:hAnsi="Arial" w:cs="Arial"/>
        </w:rPr>
        <w:t xml:space="preserve"> is below:</w:t>
      </w:r>
    </w:p>
    <w:p w:rsidR="0002275C" w:rsidP="0002275C" w:rsidRDefault="0002275C" w14:paraId="255BB892" w14:textId="4E4D79FB">
      <w:pPr>
        <w:ind w:left="720" w:hanging="578"/>
        <w:rPr>
          <w:rFonts w:ascii="Arial" w:hAnsi="Arial" w:cs="Arial"/>
        </w:rPr>
      </w:pPr>
    </w:p>
    <w:p w:rsidR="0002275C" w:rsidP="0002275C" w:rsidRDefault="0002275C" w14:paraId="06806AE6" w14:textId="77777777">
      <w:pPr>
        <w:ind w:left="720"/>
        <w:jc w:val="both"/>
        <w:rPr>
          <w:rFonts w:ascii="Arial" w:hAnsi="Arial" w:cs="Arial"/>
          <w:b/>
        </w:rPr>
      </w:pPr>
      <w:r>
        <w:rPr>
          <w:rFonts w:ascii="Arial" w:hAnsi="Arial" w:cs="Arial"/>
          <w:b/>
        </w:rPr>
        <w:t>Median</w:t>
      </w:r>
      <w:r w:rsidRPr="00250BC4">
        <w:rPr>
          <w:rFonts w:ascii="Arial" w:hAnsi="Arial" w:cs="Arial"/>
          <w:b/>
        </w:rPr>
        <w:t xml:space="preserve"> and Mean Gender Pay Gap of</w:t>
      </w:r>
      <w:r w:rsidRPr="00250BC4">
        <w:rPr>
          <w:rFonts w:ascii="Arial" w:hAnsi="Arial" w:cs="Arial"/>
        </w:rPr>
        <w:t xml:space="preserve"> </w:t>
      </w:r>
      <w:r w:rsidRPr="00250BC4">
        <w:rPr>
          <w:rFonts w:ascii="Arial" w:hAnsi="Arial" w:cs="Arial"/>
          <w:b/>
        </w:rPr>
        <w:t>Hourly Pay Rate</w:t>
      </w:r>
    </w:p>
    <w:p w:rsidR="0002275C" w:rsidP="0002275C" w:rsidRDefault="0002275C" w14:paraId="0791B294" w14:textId="77777777">
      <w:pPr>
        <w:ind w:left="720" w:hanging="720"/>
        <w:jc w:val="both"/>
        <w:rPr>
          <w:rFonts w:ascii="Arial" w:hAnsi="Arial" w:cs="Arial"/>
          <w:b/>
        </w:rPr>
      </w:pPr>
    </w:p>
    <w:tbl>
      <w:tblPr>
        <w:tblStyle w:val="TableGrid"/>
        <w:tblW w:w="0" w:type="auto"/>
        <w:tblInd w:w="704" w:type="dxa"/>
        <w:tblLook w:val="04A0" w:firstRow="1" w:lastRow="0" w:firstColumn="1" w:lastColumn="0" w:noHBand="0" w:noVBand="1"/>
      </w:tblPr>
      <w:tblGrid>
        <w:gridCol w:w="1134"/>
        <w:gridCol w:w="1184"/>
        <w:gridCol w:w="1332"/>
        <w:gridCol w:w="1314"/>
        <w:gridCol w:w="1332"/>
        <w:gridCol w:w="1296"/>
      </w:tblGrid>
      <w:tr w:rsidR="0002275C" w:rsidTr="00DB4E89" w14:paraId="75BDFAF1" w14:textId="77777777">
        <w:tc>
          <w:tcPr>
            <w:tcW w:w="1134" w:type="dxa"/>
          </w:tcPr>
          <w:p w:rsidRPr="00695D5A" w:rsidR="0002275C" w:rsidP="00DB4E89" w:rsidRDefault="0002275C" w14:paraId="7B7C9401" w14:textId="77777777">
            <w:pPr>
              <w:jc w:val="both"/>
              <w:rPr>
                <w:rFonts w:ascii="Arial" w:hAnsi="Arial" w:cs="Arial"/>
              </w:rPr>
            </w:pPr>
            <w:r w:rsidRPr="00695D5A">
              <w:rPr>
                <w:rFonts w:ascii="Arial" w:hAnsi="Arial" w:cs="Arial"/>
              </w:rPr>
              <w:t>Mean for male</w:t>
            </w:r>
          </w:p>
        </w:tc>
        <w:tc>
          <w:tcPr>
            <w:tcW w:w="1184" w:type="dxa"/>
          </w:tcPr>
          <w:p w:rsidRPr="00695D5A" w:rsidR="0002275C" w:rsidP="00DB4E89" w:rsidRDefault="0002275C" w14:paraId="7546EC10" w14:textId="77777777">
            <w:pPr>
              <w:jc w:val="both"/>
              <w:rPr>
                <w:rFonts w:ascii="Arial" w:hAnsi="Arial" w:cs="Arial"/>
              </w:rPr>
            </w:pPr>
            <w:r>
              <w:rPr>
                <w:rFonts w:ascii="Arial" w:hAnsi="Arial" w:cs="Arial"/>
              </w:rPr>
              <w:t>£19.17</w:t>
            </w:r>
          </w:p>
        </w:tc>
        <w:tc>
          <w:tcPr>
            <w:tcW w:w="1332" w:type="dxa"/>
          </w:tcPr>
          <w:p w:rsidRPr="00695D5A" w:rsidR="0002275C" w:rsidP="00DB4E89" w:rsidRDefault="0002275C" w14:paraId="3CDB0BD6" w14:textId="77777777">
            <w:pPr>
              <w:jc w:val="both"/>
              <w:rPr>
                <w:rFonts w:ascii="Arial" w:hAnsi="Arial" w:cs="Arial"/>
              </w:rPr>
            </w:pPr>
            <w:r w:rsidRPr="00695D5A">
              <w:rPr>
                <w:rFonts w:ascii="Arial" w:hAnsi="Arial" w:cs="Arial"/>
              </w:rPr>
              <w:t>Mean for female</w:t>
            </w:r>
          </w:p>
        </w:tc>
        <w:tc>
          <w:tcPr>
            <w:tcW w:w="1314" w:type="dxa"/>
          </w:tcPr>
          <w:p w:rsidRPr="00695D5A" w:rsidR="0002275C" w:rsidP="00DB4E89" w:rsidRDefault="0002275C" w14:paraId="3A61EB7B" w14:textId="77777777">
            <w:pPr>
              <w:jc w:val="both"/>
              <w:rPr>
                <w:rFonts w:ascii="Arial" w:hAnsi="Arial" w:cs="Arial"/>
              </w:rPr>
            </w:pPr>
            <w:r>
              <w:rPr>
                <w:rFonts w:ascii="Arial" w:hAnsi="Arial" w:cs="Arial"/>
              </w:rPr>
              <w:t>£18.32</w:t>
            </w:r>
          </w:p>
        </w:tc>
        <w:tc>
          <w:tcPr>
            <w:tcW w:w="1332" w:type="dxa"/>
          </w:tcPr>
          <w:p w:rsidRPr="00695D5A" w:rsidR="0002275C" w:rsidP="00DB4E89" w:rsidRDefault="0002275C" w14:paraId="5993A63F" w14:textId="77777777">
            <w:pPr>
              <w:jc w:val="both"/>
              <w:rPr>
                <w:rFonts w:ascii="Arial" w:hAnsi="Arial" w:cs="Arial"/>
              </w:rPr>
            </w:pPr>
            <w:r w:rsidRPr="00695D5A">
              <w:rPr>
                <w:rFonts w:ascii="Arial" w:hAnsi="Arial" w:cs="Arial"/>
              </w:rPr>
              <w:t>Mean gender pay gap</w:t>
            </w:r>
          </w:p>
        </w:tc>
        <w:tc>
          <w:tcPr>
            <w:tcW w:w="1296" w:type="dxa"/>
          </w:tcPr>
          <w:p w:rsidRPr="00695D5A" w:rsidR="0002275C" w:rsidP="00DB4E89" w:rsidRDefault="0002275C" w14:paraId="105DB38E" w14:textId="77777777">
            <w:pPr>
              <w:jc w:val="both"/>
              <w:rPr>
                <w:rFonts w:ascii="Arial" w:hAnsi="Arial" w:cs="Arial"/>
              </w:rPr>
            </w:pPr>
            <w:r>
              <w:rPr>
                <w:rFonts w:ascii="Arial" w:hAnsi="Arial" w:cs="Arial"/>
              </w:rPr>
              <w:t>4.45%</w:t>
            </w:r>
          </w:p>
        </w:tc>
      </w:tr>
      <w:tr w:rsidR="0002275C" w:rsidTr="00DB4E89" w14:paraId="315CC014" w14:textId="77777777">
        <w:tc>
          <w:tcPr>
            <w:tcW w:w="1134" w:type="dxa"/>
          </w:tcPr>
          <w:p w:rsidRPr="00695D5A" w:rsidR="0002275C" w:rsidP="00DB4E89" w:rsidRDefault="0002275C" w14:paraId="1450DDC6" w14:textId="77777777">
            <w:pPr>
              <w:jc w:val="both"/>
              <w:rPr>
                <w:rFonts w:ascii="Arial" w:hAnsi="Arial" w:cs="Arial"/>
              </w:rPr>
            </w:pPr>
            <w:r w:rsidRPr="00695D5A">
              <w:rPr>
                <w:rFonts w:ascii="Arial" w:hAnsi="Arial" w:cs="Arial"/>
              </w:rPr>
              <w:t>Median for Male</w:t>
            </w:r>
          </w:p>
        </w:tc>
        <w:tc>
          <w:tcPr>
            <w:tcW w:w="1184" w:type="dxa"/>
          </w:tcPr>
          <w:p w:rsidRPr="00695D5A" w:rsidR="0002275C" w:rsidP="00DB4E89" w:rsidRDefault="0002275C" w14:paraId="7D58AFE5" w14:textId="77777777">
            <w:pPr>
              <w:jc w:val="both"/>
              <w:rPr>
                <w:rFonts w:ascii="Arial" w:hAnsi="Arial" w:cs="Arial"/>
              </w:rPr>
            </w:pPr>
            <w:r>
              <w:rPr>
                <w:rFonts w:ascii="Arial" w:hAnsi="Arial" w:cs="Arial"/>
              </w:rPr>
              <w:t>£16.40</w:t>
            </w:r>
          </w:p>
        </w:tc>
        <w:tc>
          <w:tcPr>
            <w:tcW w:w="1332" w:type="dxa"/>
          </w:tcPr>
          <w:p w:rsidRPr="00695D5A" w:rsidR="0002275C" w:rsidP="00DB4E89" w:rsidRDefault="0002275C" w14:paraId="4E60E285" w14:textId="77777777">
            <w:pPr>
              <w:jc w:val="both"/>
              <w:rPr>
                <w:rFonts w:ascii="Arial" w:hAnsi="Arial" w:cs="Arial"/>
              </w:rPr>
            </w:pPr>
            <w:r w:rsidRPr="00695D5A">
              <w:rPr>
                <w:rFonts w:ascii="Arial" w:hAnsi="Arial" w:cs="Arial"/>
              </w:rPr>
              <w:t>Median for female</w:t>
            </w:r>
          </w:p>
        </w:tc>
        <w:tc>
          <w:tcPr>
            <w:tcW w:w="1314" w:type="dxa"/>
          </w:tcPr>
          <w:p w:rsidRPr="00695D5A" w:rsidR="0002275C" w:rsidP="00DB4E89" w:rsidRDefault="0002275C" w14:paraId="75DEEBBE" w14:textId="77777777">
            <w:pPr>
              <w:jc w:val="both"/>
              <w:rPr>
                <w:rFonts w:ascii="Arial" w:hAnsi="Arial" w:cs="Arial"/>
              </w:rPr>
            </w:pPr>
            <w:r>
              <w:rPr>
                <w:rFonts w:ascii="Arial" w:hAnsi="Arial" w:cs="Arial"/>
              </w:rPr>
              <w:t>£15.97</w:t>
            </w:r>
          </w:p>
        </w:tc>
        <w:tc>
          <w:tcPr>
            <w:tcW w:w="1332" w:type="dxa"/>
          </w:tcPr>
          <w:p w:rsidRPr="00695D5A" w:rsidR="0002275C" w:rsidP="00DB4E89" w:rsidRDefault="0002275C" w14:paraId="0406D9A7" w14:textId="77777777">
            <w:pPr>
              <w:jc w:val="both"/>
              <w:rPr>
                <w:rFonts w:ascii="Arial" w:hAnsi="Arial" w:cs="Arial"/>
              </w:rPr>
            </w:pPr>
            <w:r w:rsidRPr="00695D5A">
              <w:rPr>
                <w:rFonts w:ascii="Arial" w:hAnsi="Arial" w:cs="Arial"/>
              </w:rPr>
              <w:t>Median gender pay gap</w:t>
            </w:r>
          </w:p>
        </w:tc>
        <w:tc>
          <w:tcPr>
            <w:tcW w:w="1296" w:type="dxa"/>
          </w:tcPr>
          <w:p w:rsidRPr="00695D5A" w:rsidR="0002275C" w:rsidP="00DB4E89" w:rsidRDefault="0002275C" w14:paraId="15D89870" w14:textId="77777777">
            <w:pPr>
              <w:jc w:val="both"/>
              <w:rPr>
                <w:rFonts w:ascii="Arial" w:hAnsi="Arial" w:cs="Arial"/>
              </w:rPr>
            </w:pPr>
            <w:r>
              <w:rPr>
                <w:rFonts w:ascii="Arial" w:hAnsi="Arial" w:cs="Arial"/>
              </w:rPr>
              <w:t>2.60%</w:t>
            </w:r>
          </w:p>
        </w:tc>
      </w:tr>
    </w:tbl>
    <w:p w:rsidR="0002275C" w:rsidP="0002275C" w:rsidRDefault="0002275C" w14:paraId="28070425" w14:textId="27DDC8F6">
      <w:pPr>
        <w:rPr>
          <w:rFonts w:ascii="Arial" w:hAnsi="Arial" w:cs="Arial"/>
        </w:rPr>
      </w:pPr>
    </w:p>
    <w:p w:rsidRPr="0033275B" w:rsidR="0002275C" w:rsidP="0002275C" w:rsidRDefault="0002275C" w14:paraId="565BC9E1" w14:textId="77777777">
      <w:pPr>
        <w:ind w:left="714" w:hanging="714"/>
        <w:rPr>
          <w:rFonts w:ascii="Arial" w:hAnsi="Arial" w:cs="Arial"/>
        </w:rPr>
      </w:pPr>
      <w:r>
        <w:rPr>
          <w:rFonts w:ascii="Arial" w:hAnsi="Arial" w:cs="Arial"/>
        </w:rPr>
        <w:t>9.3</w:t>
      </w:r>
      <w:r>
        <w:rPr>
          <w:rFonts w:ascii="Arial" w:hAnsi="Arial" w:cs="Arial"/>
        </w:rPr>
        <w:tab/>
      </w:r>
      <w:r w:rsidRPr="0033275B" w:rsidR="00085D83">
        <w:rPr>
          <w:rFonts w:ascii="Arial" w:hAnsi="Arial" w:cs="Arial"/>
        </w:rPr>
        <w:t>The UK gender pay gap for 202</w:t>
      </w:r>
      <w:r w:rsidRPr="0033275B" w:rsidR="007476DD">
        <w:rPr>
          <w:rFonts w:ascii="Arial" w:hAnsi="Arial" w:cs="Arial"/>
        </w:rPr>
        <w:t>3</w:t>
      </w:r>
      <w:r w:rsidRPr="0033275B" w:rsidR="00085D83">
        <w:rPr>
          <w:rFonts w:ascii="Arial" w:hAnsi="Arial" w:cs="Arial"/>
        </w:rPr>
        <w:t xml:space="preserve"> reported by the Office for National Statistics, is </w:t>
      </w:r>
      <w:r w:rsidRPr="0033275B">
        <w:rPr>
          <w:rFonts w:ascii="Arial" w:hAnsi="Arial" w:cs="Arial"/>
        </w:rPr>
        <w:t>14.3</w:t>
      </w:r>
      <w:r w:rsidRPr="0033275B" w:rsidR="00085D83">
        <w:rPr>
          <w:rFonts w:ascii="Arial" w:hAnsi="Arial" w:cs="Arial"/>
        </w:rPr>
        <w:t xml:space="preserve">% for all employees and </w:t>
      </w:r>
      <w:r w:rsidRPr="0033275B">
        <w:rPr>
          <w:rFonts w:ascii="Arial" w:hAnsi="Arial" w:cs="Arial"/>
        </w:rPr>
        <w:t>7.7</w:t>
      </w:r>
      <w:r w:rsidRPr="0033275B" w:rsidR="00085D83">
        <w:rPr>
          <w:rFonts w:ascii="Arial" w:hAnsi="Arial" w:cs="Arial"/>
        </w:rPr>
        <w:t>% for f</w:t>
      </w:r>
      <w:r w:rsidRPr="0033275B">
        <w:rPr>
          <w:rFonts w:ascii="Arial" w:hAnsi="Arial" w:cs="Arial"/>
        </w:rPr>
        <w:t>ull time staff (in favour of males</w:t>
      </w:r>
      <w:r w:rsidRPr="0033275B" w:rsidR="00085D83">
        <w:rPr>
          <w:rFonts w:ascii="Arial" w:hAnsi="Arial" w:cs="Arial"/>
        </w:rPr>
        <w:t xml:space="preserve">).  Hertsmere’s mean gender pay gap is </w:t>
      </w:r>
      <w:r w:rsidRPr="0033275B">
        <w:rPr>
          <w:rFonts w:ascii="Arial" w:hAnsi="Arial" w:cs="Arial"/>
        </w:rPr>
        <w:t>4.45</w:t>
      </w:r>
      <w:r w:rsidRPr="0033275B" w:rsidR="00085D83">
        <w:rPr>
          <w:rFonts w:ascii="Arial" w:hAnsi="Arial" w:cs="Arial"/>
        </w:rPr>
        <w:t xml:space="preserve">% in favour of </w:t>
      </w:r>
      <w:r w:rsidRPr="0033275B">
        <w:rPr>
          <w:rFonts w:ascii="Arial" w:hAnsi="Arial" w:cs="Arial"/>
        </w:rPr>
        <w:t>males</w:t>
      </w:r>
      <w:r w:rsidRPr="0033275B" w:rsidR="00085D83">
        <w:rPr>
          <w:rFonts w:ascii="Arial" w:hAnsi="Arial" w:cs="Arial"/>
        </w:rPr>
        <w:t xml:space="preserve"> and median pay gap is </w:t>
      </w:r>
      <w:r w:rsidRPr="0033275B">
        <w:rPr>
          <w:rFonts w:ascii="Arial" w:hAnsi="Arial" w:cs="Arial"/>
        </w:rPr>
        <w:t>2.60% in favour of males</w:t>
      </w:r>
      <w:r w:rsidRPr="0033275B" w:rsidR="00085D83">
        <w:rPr>
          <w:rFonts w:ascii="Arial" w:hAnsi="Arial" w:cs="Arial"/>
        </w:rPr>
        <w:t>.  </w:t>
      </w:r>
      <w:r w:rsidRPr="0033275B">
        <w:rPr>
          <w:rFonts w:ascii="Arial" w:hAnsi="Arial" w:cs="Arial"/>
        </w:rPr>
        <w:t>The gap has changed since 2022 when the respective rates were 3.26% and 2.41% in favour of females.  This shift is as a result of the pay increases for the lowest paid site based staff within Street Scene Services, where the employees are all currently male.</w:t>
      </w:r>
    </w:p>
    <w:p w:rsidRPr="0033275B" w:rsidR="00085D83" w:rsidP="00085D83" w:rsidRDefault="00085D83" w14:paraId="5D26BCEB" w14:textId="6B3D580F">
      <w:pPr>
        <w:rPr>
          <w:rFonts w:ascii="Arial" w:hAnsi="Arial" w:cs="Arial"/>
        </w:rPr>
      </w:pPr>
    </w:p>
    <w:p w:rsidRPr="00C324BF" w:rsidR="00432998" w:rsidP="00C324BF" w:rsidRDefault="00085D83" w14:paraId="261A82BC" w14:textId="5D3DF1CB">
      <w:pPr>
        <w:ind w:left="714" w:hanging="714"/>
        <w:jc w:val="both"/>
        <w:rPr>
          <w:rFonts w:ascii="Arial" w:hAnsi="Arial" w:cs="Arial"/>
          <w:b/>
        </w:rPr>
      </w:pPr>
      <w:r w:rsidRPr="0033275B">
        <w:rPr>
          <w:rFonts w:ascii="Arial" w:hAnsi="Arial" w:cs="Arial"/>
        </w:rPr>
        <w:t>9.4</w:t>
      </w:r>
      <w:r w:rsidRPr="0033275B">
        <w:rPr>
          <w:rFonts w:ascii="Arial" w:hAnsi="Arial" w:cs="Arial"/>
        </w:rPr>
        <w:tab/>
      </w:r>
      <w:r w:rsidRPr="0033275B" w:rsidR="0033275B">
        <w:rPr>
          <w:rFonts w:ascii="Arial" w:hAnsi="Arial" w:cs="Arial"/>
        </w:rPr>
        <w:t>Whilst the gender pay gap has shifted from favouring females in 2022 to males in 2023, the difference is within a reasonable range and is far below the UK gender pay gap reported by the Office for National Statistics and is therefore not a concern.  The Gender Pay Gap Reports can be found on our website at</w:t>
      </w:r>
      <w:r w:rsidRPr="0033275B">
        <w:rPr>
          <w:rFonts w:ascii="Arial" w:hAnsi="Arial" w:cs="Arial"/>
        </w:rPr>
        <w:t>.</w:t>
      </w:r>
      <w:r w:rsidRPr="0033275B" w:rsidR="00C324BF">
        <w:rPr>
          <w:rFonts w:ascii="Arial" w:hAnsi="Arial" w:cs="Arial"/>
          <w:b/>
        </w:rPr>
        <w:t xml:space="preserve"> </w:t>
      </w:r>
      <w:hyperlink w:history="1" r:id="rId8">
        <w:r w:rsidRPr="0033275B" w:rsidR="006D053E">
          <w:rPr>
            <w:rStyle w:val="Hyperlink"/>
            <w:rFonts w:ascii="Arial" w:hAnsi="Arial" w:cs="Arial"/>
          </w:rPr>
          <w:t>Transparency and open data - Hertsmere Borough Council</w:t>
        </w:r>
      </w:hyperlink>
    </w:p>
    <w:sectPr w:rsidRPr="00C324BF" w:rsidR="00432998" w:rsidSect="00D764A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D148" w14:textId="77777777" w:rsidR="008C5169" w:rsidRDefault="008C5169">
      <w:r>
        <w:separator/>
      </w:r>
    </w:p>
  </w:endnote>
  <w:endnote w:type="continuationSeparator" w:id="0">
    <w:p w14:paraId="1DA49EC7" w14:textId="77777777" w:rsidR="008C5169" w:rsidRDefault="008C5169">
      <w:r>
        <w:continuationSeparator/>
      </w:r>
    </w:p>
  </w:endnote>
  <w:endnote w:type="continuationNotice" w:id="1">
    <w:p w14:paraId="7C519E70" w14:textId="77777777" w:rsidR="008C5169" w:rsidRDefault="008C5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8B2F" w14:textId="6A3F4D2E" w:rsidR="008C5169" w:rsidRDefault="008C5169">
    <w:pPr>
      <w:pStyle w:val="Footer"/>
    </w:pPr>
    <w:r>
      <w:tab/>
    </w:r>
    <w:r>
      <w:rPr>
        <w:rStyle w:val="PageNumber"/>
      </w:rPr>
      <w:fldChar w:fldCharType="begin"/>
    </w:r>
    <w:r>
      <w:rPr>
        <w:rStyle w:val="PageNumber"/>
      </w:rPr>
      <w:instrText xml:space="preserve"> PAGE </w:instrText>
    </w:r>
    <w:r>
      <w:rPr>
        <w:rStyle w:val="PageNumber"/>
      </w:rPr>
      <w:fldChar w:fldCharType="separate"/>
    </w:r>
    <w:r w:rsidR="009F3655">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BBE30" w14:textId="77777777" w:rsidR="008C5169" w:rsidRDefault="008C5169">
      <w:r>
        <w:separator/>
      </w:r>
    </w:p>
  </w:footnote>
  <w:footnote w:type="continuationSeparator" w:id="0">
    <w:p w14:paraId="1C61836E" w14:textId="77777777" w:rsidR="008C5169" w:rsidRDefault="008C5169">
      <w:r>
        <w:continuationSeparator/>
      </w:r>
    </w:p>
  </w:footnote>
  <w:footnote w:type="continuationNotice" w:id="1">
    <w:p w14:paraId="4E293AA6" w14:textId="77777777" w:rsidR="008C5169" w:rsidRDefault="008C51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63D5" w14:textId="77777777" w:rsidR="008C5169" w:rsidRDefault="008C5169">
    <w:pPr>
      <w:pStyle w:val="Header"/>
    </w:pPr>
  </w:p>
  <w:p w14:paraId="7A09B94B" w14:textId="77777777" w:rsidR="008C5169" w:rsidRPr="00E96716" w:rsidRDefault="008C5169" w:rsidP="00E96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0D3"/>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B0033B8"/>
    <w:multiLevelType w:val="multilevel"/>
    <w:tmpl w:val="8E28356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sz w:val="24"/>
        <w:szCs w:val="24"/>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15:restartNumberingAfterBreak="0">
    <w:nsid w:val="0F91700E"/>
    <w:multiLevelType w:val="multilevel"/>
    <w:tmpl w:val="2F3EC1B2"/>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137C2F24"/>
    <w:multiLevelType w:val="multilevel"/>
    <w:tmpl w:val="DBB423F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472"/>
        </w:tabs>
        <w:ind w:left="-472" w:hanging="1800"/>
      </w:pPr>
      <w:rPr>
        <w:rFonts w:hint="default"/>
      </w:rPr>
    </w:lvl>
  </w:abstractNum>
  <w:abstractNum w:abstractNumId="4" w15:restartNumberingAfterBreak="0">
    <w:nsid w:val="1494198E"/>
    <w:multiLevelType w:val="multilevel"/>
    <w:tmpl w:val="2C425AC0"/>
    <w:lvl w:ilvl="0">
      <w:start w:val="5"/>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C0366D8"/>
    <w:multiLevelType w:val="hybridMultilevel"/>
    <w:tmpl w:val="5FBADC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851AB0"/>
    <w:multiLevelType w:val="multilevel"/>
    <w:tmpl w:val="203AAF3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279C483A"/>
    <w:multiLevelType w:val="multilevel"/>
    <w:tmpl w:val="4A18DAF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972F1"/>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2B0813D3"/>
    <w:multiLevelType w:val="hybridMultilevel"/>
    <w:tmpl w:val="882462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B51F1F"/>
    <w:multiLevelType w:val="hybridMultilevel"/>
    <w:tmpl w:val="2E22158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501D74"/>
    <w:multiLevelType w:val="hybridMultilevel"/>
    <w:tmpl w:val="2D823C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CAA1198"/>
    <w:multiLevelType w:val="multilevel"/>
    <w:tmpl w:val="6D54CFDA"/>
    <w:lvl w:ilvl="0">
      <w:start w:val="10"/>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90E53F4"/>
    <w:multiLevelType w:val="hybridMultilevel"/>
    <w:tmpl w:val="DC1C9B24"/>
    <w:lvl w:ilvl="0" w:tplc="08090001">
      <w:start w:val="1"/>
      <w:numFmt w:val="bullet"/>
      <w:lvlText w:val=""/>
      <w:lvlJc w:val="left"/>
      <w:pPr>
        <w:ind w:left="3010" w:hanging="360"/>
      </w:pPr>
      <w:rPr>
        <w:rFonts w:ascii="Symbol" w:hAnsi="Symbol" w:hint="default"/>
      </w:rPr>
    </w:lvl>
    <w:lvl w:ilvl="1" w:tplc="08090003" w:tentative="1">
      <w:start w:val="1"/>
      <w:numFmt w:val="bullet"/>
      <w:lvlText w:val="o"/>
      <w:lvlJc w:val="left"/>
      <w:pPr>
        <w:ind w:left="3730" w:hanging="360"/>
      </w:pPr>
      <w:rPr>
        <w:rFonts w:ascii="Courier New" w:hAnsi="Courier New" w:cs="Courier New" w:hint="default"/>
      </w:rPr>
    </w:lvl>
    <w:lvl w:ilvl="2" w:tplc="08090005" w:tentative="1">
      <w:start w:val="1"/>
      <w:numFmt w:val="bullet"/>
      <w:lvlText w:val=""/>
      <w:lvlJc w:val="left"/>
      <w:pPr>
        <w:ind w:left="4450" w:hanging="360"/>
      </w:pPr>
      <w:rPr>
        <w:rFonts w:ascii="Wingdings" w:hAnsi="Wingdings" w:hint="default"/>
      </w:rPr>
    </w:lvl>
    <w:lvl w:ilvl="3" w:tplc="08090001" w:tentative="1">
      <w:start w:val="1"/>
      <w:numFmt w:val="bullet"/>
      <w:lvlText w:val=""/>
      <w:lvlJc w:val="left"/>
      <w:pPr>
        <w:ind w:left="5170" w:hanging="360"/>
      </w:pPr>
      <w:rPr>
        <w:rFonts w:ascii="Symbol" w:hAnsi="Symbol" w:hint="default"/>
      </w:rPr>
    </w:lvl>
    <w:lvl w:ilvl="4" w:tplc="08090003" w:tentative="1">
      <w:start w:val="1"/>
      <w:numFmt w:val="bullet"/>
      <w:lvlText w:val="o"/>
      <w:lvlJc w:val="left"/>
      <w:pPr>
        <w:ind w:left="5890" w:hanging="360"/>
      </w:pPr>
      <w:rPr>
        <w:rFonts w:ascii="Courier New" w:hAnsi="Courier New" w:cs="Courier New" w:hint="default"/>
      </w:rPr>
    </w:lvl>
    <w:lvl w:ilvl="5" w:tplc="08090005" w:tentative="1">
      <w:start w:val="1"/>
      <w:numFmt w:val="bullet"/>
      <w:lvlText w:val=""/>
      <w:lvlJc w:val="left"/>
      <w:pPr>
        <w:ind w:left="6610" w:hanging="360"/>
      </w:pPr>
      <w:rPr>
        <w:rFonts w:ascii="Wingdings" w:hAnsi="Wingdings" w:hint="default"/>
      </w:rPr>
    </w:lvl>
    <w:lvl w:ilvl="6" w:tplc="08090001" w:tentative="1">
      <w:start w:val="1"/>
      <w:numFmt w:val="bullet"/>
      <w:lvlText w:val=""/>
      <w:lvlJc w:val="left"/>
      <w:pPr>
        <w:ind w:left="7330" w:hanging="360"/>
      </w:pPr>
      <w:rPr>
        <w:rFonts w:ascii="Symbol" w:hAnsi="Symbol" w:hint="default"/>
      </w:rPr>
    </w:lvl>
    <w:lvl w:ilvl="7" w:tplc="08090003" w:tentative="1">
      <w:start w:val="1"/>
      <w:numFmt w:val="bullet"/>
      <w:lvlText w:val="o"/>
      <w:lvlJc w:val="left"/>
      <w:pPr>
        <w:ind w:left="8050" w:hanging="360"/>
      </w:pPr>
      <w:rPr>
        <w:rFonts w:ascii="Courier New" w:hAnsi="Courier New" w:cs="Courier New" w:hint="default"/>
      </w:rPr>
    </w:lvl>
    <w:lvl w:ilvl="8" w:tplc="08090005" w:tentative="1">
      <w:start w:val="1"/>
      <w:numFmt w:val="bullet"/>
      <w:lvlText w:val=""/>
      <w:lvlJc w:val="left"/>
      <w:pPr>
        <w:ind w:left="8770" w:hanging="360"/>
      </w:pPr>
      <w:rPr>
        <w:rFonts w:ascii="Wingdings" w:hAnsi="Wingdings" w:hint="default"/>
      </w:rPr>
    </w:lvl>
  </w:abstractNum>
  <w:abstractNum w:abstractNumId="14" w15:restartNumberingAfterBreak="0">
    <w:nsid w:val="4D6B4FEE"/>
    <w:multiLevelType w:val="hybridMultilevel"/>
    <w:tmpl w:val="568807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5852650"/>
    <w:multiLevelType w:val="multilevel"/>
    <w:tmpl w:val="DE945C5A"/>
    <w:lvl w:ilvl="0">
      <w:start w:val="7"/>
      <w:numFmt w:val="decimal"/>
      <w:lvlText w:val="%1."/>
      <w:lvlJc w:val="left"/>
      <w:pPr>
        <w:tabs>
          <w:tab w:val="num" w:pos="1775"/>
        </w:tabs>
        <w:ind w:left="177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6" w15:restartNumberingAfterBreak="0">
    <w:nsid w:val="5904407C"/>
    <w:multiLevelType w:val="multilevel"/>
    <w:tmpl w:val="42E0FC62"/>
    <w:lvl w:ilvl="0">
      <w:start w:val="6"/>
      <w:numFmt w:val="decimal"/>
      <w:lvlText w:val="%1."/>
      <w:lvlJc w:val="left"/>
      <w:pPr>
        <w:tabs>
          <w:tab w:val="num" w:pos="1425"/>
        </w:tabs>
        <w:ind w:left="142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7" w15:restartNumberingAfterBreak="0">
    <w:nsid w:val="63847CCD"/>
    <w:multiLevelType w:val="multilevel"/>
    <w:tmpl w:val="8FFAD31C"/>
    <w:lvl w:ilvl="0">
      <w:start w:val="5"/>
      <w:numFmt w:val="decimal"/>
      <w:lvlText w:val="%1."/>
      <w:lvlJc w:val="left"/>
      <w:pPr>
        <w:tabs>
          <w:tab w:val="num" w:pos="1425"/>
        </w:tabs>
        <w:ind w:left="1425" w:hanging="1065"/>
      </w:pPr>
      <w:rPr>
        <w:rFonts w:cs="Times New Roman" w:hint="default"/>
      </w:rPr>
    </w:lvl>
    <w:lvl w:ilvl="1">
      <w:start w:val="5"/>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8" w15:restartNumberingAfterBreak="0">
    <w:nsid w:val="66133001"/>
    <w:multiLevelType w:val="multilevel"/>
    <w:tmpl w:val="F78411B4"/>
    <w:lvl w:ilvl="0">
      <w:start w:val="6"/>
      <w:numFmt w:val="decimal"/>
      <w:lvlText w:val="%1."/>
      <w:lvlJc w:val="left"/>
      <w:pPr>
        <w:tabs>
          <w:tab w:val="num" w:pos="1425"/>
        </w:tabs>
        <w:ind w:left="1425" w:hanging="1065"/>
      </w:pPr>
      <w:rPr>
        <w:rFonts w:cs="Times New Roman" w:hint="default"/>
        <w:b w:val="0"/>
      </w:rPr>
    </w:lvl>
    <w:lvl w:ilvl="1">
      <w:start w:val="2"/>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9" w15:restartNumberingAfterBreak="0">
    <w:nsid w:val="66A17767"/>
    <w:multiLevelType w:val="hybridMultilevel"/>
    <w:tmpl w:val="0AE4421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7655A67"/>
    <w:multiLevelType w:val="hybridMultilevel"/>
    <w:tmpl w:val="B8B8E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093931"/>
    <w:multiLevelType w:val="multilevel"/>
    <w:tmpl w:val="959E40F0"/>
    <w:lvl w:ilvl="0">
      <w:start w:val="5"/>
      <w:numFmt w:val="decimal"/>
      <w:lvlText w:val="%1."/>
      <w:lvlJc w:val="left"/>
      <w:pPr>
        <w:tabs>
          <w:tab w:val="num" w:pos="1425"/>
        </w:tabs>
        <w:ind w:left="142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22" w15:restartNumberingAfterBreak="0">
    <w:nsid w:val="6D6E6805"/>
    <w:multiLevelType w:val="multilevel"/>
    <w:tmpl w:val="E0001206"/>
    <w:lvl w:ilvl="0">
      <w:start w:val="1"/>
      <w:numFmt w:val="bullet"/>
      <w:lvlText w:val=""/>
      <w:lvlJc w:val="left"/>
      <w:pPr>
        <w:tabs>
          <w:tab w:val="num" w:pos="2880"/>
        </w:tabs>
        <w:ind w:left="2880" w:hanging="360"/>
      </w:pPr>
      <w:rPr>
        <w:rFonts w:ascii="Symbol" w:hAnsi="Symbol" w:hint="default"/>
      </w:rPr>
    </w:lvl>
    <w:lvl w:ilvl="1">
      <w:start w:val="1"/>
      <w:numFmt w:val="decimal"/>
      <w:isLgl/>
      <w:lvlText w:val="%1.%2"/>
      <w:lvlJc w:val="left"/>
      <w:pPr>
        <w:tabs>
          <w:tab w:val="num" w:pos="3585"/>
        </w:tabs>
        <w:ind w:left="3585" w:hanging="1065"/>
      </w:pPr>
      <w:rPr>
        <w:rFonts w:cs="Times New Roman" w:hint="default"/>
        <w:b w:val="0"/>
      </w:rPr>
    </w:lvl>
    <w:lvl w:ilvl="2">
      <w:start w:val="1"/>
      <w:numFmt w:val="decimal"/>
      <w:isLgl/>
      <w:lvlText w:val="%1.%2.%3"/>
      <w:lvlJc w:val="left"/>
      <w:pPr>
        <w:tabs>
          <w:tab w:val="num" w:pos="3585"/>
        </w:tabs>
        <w:ind w:left="3585" w:hanging="1065"/>
      </w:pPr>
      <w:rPr>
        <w:rFonts w:cs="Times New Roman" w:hint="default"/>
        <w:b w:val="0"/>
      </w:rPr>
    </w:lvl>
    <w:lvl w:ilvl="3">
      <w:start w:val="1"/>
      <w:numFmt w:val="decimal"/>
      <w:isLgl/>
      <w:lvlText w:val="%1.%2.%3.%4"/>
      <w:lvlJc w:val="left"/>
      <w:pPr>
        <w:tabs>
          <w:tab w:val="num" w:pos="3600"/>
        </w:tabs>
        <w:ind w:left="3600" w:hanging="1080"/>
      </w:pPr>
      <w:rPr>
        <w:rFonts w:cs="Times New Roman" w:hint="default"/>
        <w:b w:val="0"/>
      </w:rPr>
    </w:lvl>
    <w:lvl w:ilvl="4">
      <w:start w:val="1"/>
      <w:numFmt w:val="decimal"/>
      <w:isLgl/>
      <w:lvlText w:val="%1.%2.%3.%4.%5"/>
      <w:lvlJc w:val="left"/>
      <w:pPr>
        <w:tabs>
          <w:tab w:val="num" w:pos="3600"/>
        </w:tabs>
        <w:ind w:left="3600" w:hanging="1080"/>
      </w:pPr>
      <w:rPr>
        <w:rFonts w:cs="Times New Roman" w:hint="default"/>
        <w:b w:val="0"/>
      </w:rPr>
    </w:lvl>
    <w:lvl w:ilvl="5">
      <w:start w:val="1"/>
      <w:numFmt w:val="decimal"/>
      <w:isLgl/>
      <w:lvlText w:val="%1.%2.%3.%4.%5.%6"/>
      <w:lvlJc w:val="left"/>
      <w:pPr>
        <w:tabs>
          <w:tab w:val="num" w:pos="3960"/>
        </w:tabs>
        <w:ind w:left="3960" w:hanging="1440"/>
      </w:pPr>
      <w:rPr>
        <w:rFonts w:cs="Times New Roman" w:hint="default"/>
        <w:b w:val="0"/>
      </w:rPr>
    </w:lvl>
    <w:lvl w:ilvl="6">
      <w:start w:val="1"/>
      <w:numFmt w:val="decimal"/>
      <w:isLgl/>
      <w:lvlText w:val="%1.%2.%3.%4.%5.%6.%7"/>
      <w:lvlJc w:val="left"/>
      <w:pPr>
        <w:tabs>
          <w:tab w:val="num" w:pos="3960"/>
        </w:tabs>
        <w:ind w:left="3960" w:hanging="1440"/>
      </w:pPr>
      <w:rPr>
        <w:rFonts w:cs="Times New Roman" w:hint="default"/>
        <w:b w:val="0"/>
      </w:rPr>
    </w:lvl>
    <w:lvl w:ilvl="7">
      <w:start w:val="1"/>
      <w:numFmt w:val="decimal"/>
      <w:isLgl/>
      <w:lvlText w:val="%1.%2.%3.%4.%5.%6.%7.%8"/>
      <w:lvlJc w:val="left"/>
      <w:pPr>
        <w:tabs>
          <w:tab w:val="num" w:pos="4320"/>
        </w:tabs>
        <w:ind w:left="4320" w:hanging="1800"/>
      </w:pPr>
      <w:rPr>
        <w:rFonts w:cs="Times New Roman" w:hint="default"/>
        <w:b w:val="0"/>
      </w:rPr>
    </w:lvl>
    <w:lvl w:ilvl="8">
      <w:start w:val="1"/>
      <w:numFmt w:val="decimal"/>
      <w:isLgl/>
      <w:lvlText w:val="%1.%2.%3.%4.%5.%6.%7.%8.%9"/>
      <w:lvlJc w:val="left"/>
      <w:pPr>
        <w:tabs>
          <w:tab w:val="num" w:pos="4320"/>
        </w:tabs>
        <w:ind w:left="4320" w:hanging="1800"/>
      </w:pPr>
      <w:rPr>
        <w:rFonts w:cs="Times New Roman" w:hint="default"/>
        <w:b w:val="0"/>
      </w:rPr>
    </w:lvl>
  </w:abstractNum>
  <w:abstractNum w:abstractNumId="23" w15:restartNumberingAfterBreak="0">
    <w:nsid w:val="6E4E6BE8"/>
    <w:multiLevelType w:val="hybridMultilevel"/>
    <w:tmpl w:val="08E6D8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F30D12"/>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71441798"/>
    <w:multiLevelType w:val="multilevel"/>
    <w:tmpl w:val="6AE2BD2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21314E7"/>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755931E9"/>
    <w:multiLevelType w:val="multilevel"/>
    <w:tmpl w:val="6F0E023E"/>
    <w:lvl w:ilvl="0">
      <w:start w:val="1"/>
      <w:numFmt w:val="decimal"/>
      <w:lvlText w:val="%1."/>
      <w:lvlJc w:val="left"/>
      <w:pPr>
        <w:tabs>
          <w:tab w:val="num" w:pos="1080"/>
        </w:tabs>
        <w:ind w:left="1080" w:hanging="720"/>
      </w:pPr>
      <w:rPr>
        <w:rFonts w:cs="Times New Roman" w:hint="default"/>
        <w:b w:val="0"/>
        <w:u w:val="none"/>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15:restartNumberingAfterBreak="0">
    <w:nsid w:val="7E223E92"/>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27"/>
  </w:num>
  <w:num w:numId="2">
    <w:abstractNumId w:val="28"/>
  </w:num>
  <w:num w:numId="3">
    <w:abstractNumId w:val="6"/>
  </w:num>
  <w:num w:numId="4">
    <w:abstractNumId w:val="25"/>
  </w:num>
  <w:num w:numId="5">
    <w:abstractNumId w:val="1"/>
  </w:num>
  <w:num w:numId="6">
    <w:abstractNumId w:val="21"/>
  </w:num>
  <w:num w:numId="7">
    <w:abstractNumId w:val="22"/>
  </w:num>
  <w:num w:numId="8">
    <w:abstractNumId w:val="10"/>
  </w:num>
  <w:num w:numId="9">
    <w:abstractNumId w:val="5"/>
  </w:num>
  <w:num w:numId="10">
    <w:abstractNumId w:val="14"/>
  </w:num>
  <w:num w:numId="11">
    <w:abstractNumId w:val="23"/>
  </w:num>
  <w:num w:numId="12">
    <w:abstractNumId w:val="17"/>
  </w:num>
  <w:num w:numId="13">
    <w:abstractNumId w:val="16"/>
  </w:num>
  <w:num w:numId="14">
    <w:abstractNumId w:val="18"/>
  </w:num>
  <w:num w:numId="15">
    <w:abstractNumId w:val="15"/>
  </w:num>
  <w:num w:numId="16">
    <w:abstractNumId w:val="0"/>
  </w:num>
  <w:num w:numId="17">
    <w:abstractNumId w:val="4"/>
  </w:num>
  <w:num w:numId="18">
    <w:abstractNumId w:val="20"/>
  </w:num>
  <w:num w:numId="19">
    <w:abstractNumId w:val="24"/>
  </w:num>
  <w:num w:numId="20">
    <w:abstractNumId w:val="8"/>
  </w:num>
  <w:num w:numId="21">
    <w:abstractNumId w:val="26"/>
  </w:num>
  <w:num w:numId="22">
    <w:abstractNumId w:val="13"/>
  </w:num>
  <w:num w:numId="23">
    <w:abstractNumId w:val="9"/>
  </w:num>
  <w:num w:numId="24">
    <w:abstractNumId w:val="3"/>
  </w:num>
  <w:num w:numId="25">
    <w:abstractNumId w:val="12"/>
  </w:num>
  <w:num w:numId="26">
    <w:abstractNumId w:val="11"/>
  </w:num>
  <w:num w:numId="27">
    <w:abstractNumId w:val="19"/>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08AAC9-02AC-4CEA-BE92-729EF84F00FF}"/>
    <w:docVar w:name="dgnword-eventsink" w:val="116815504"/>
  </w:docVars>
  <w:rsids>
    <w:rsidRoot w:val="00B65C2F"/>
    <w:rsid w:val="0000174B"/>
    <w:rsid w:val="00001B04"/>
    <w:rsid w:val="0000302C"/>
    <w:rsid w:val="00003853"/>
    <w:rsid w:val="000062D2"/>
    <w:rsid w:val="000111AB"/>
    <w:rsid w:val="00011E44"/>
    <w:rsid w:val="000204BD"/>
    <w:rsid w:val="0002275C"/>
    <w:rsid w:val="00035825"/>
    <w:rsid w:val="00042C27"/>
    <w:rsid w:val="000501F1"/>
    <w:rsid w:val="00051185"/>
    <w:rsid w:val="00053F7D"/>
    <w:rsid w:val="0005730C"/>
    <w:rsid w:val="00061F70"/>
    <w:rsid w:val="000638FC"/>
    <w:rsid w:val="00064292"/>
    <w:rsid w:val="00064DB8"/>
    <w:rsid w:val="00065505"/>
    <w:rsid w:val="00065BDD"/>
    <w:rsid w:val="00066FA8"/>
    <w:rsid w:val="000748C2"/>
    <w:rsid w:val="0007789F"/>
    <w:rsid w:val="00085013"/>
    <w:rsid w:val="00085D83"/>
    <w:rsid w:val="00093CDE"/>
    <w:rsid w:val="000A2415"/>
    <w:rsid w:val="000A3D50"/>
    <w:rsid w:val="000A53F6"/>
    <w:rsid w:val="000A5694"/>
    <w:rsid w:val="000A7F9F"/>
    <w:rsid w:val="000B6A75"/>
    <w:rsid w:val="000B7D40"/>
    <w:rsid w:val="000C05B2"/>
    <w:rsid w:val="000C5406"/>
    <w:rsid w:val="000D1DAD"/>
    <w:rsid w:val="000D1E13"/>
    <w:rsid w:val="000D3432"/>
    <w:rsid w:val="000F2E6F"/>
    <w:rsid w:val="000F5260"/>
    <w:rsid w:val="000F7BFC"/>
    <w:rsid w:val="00102391"/>
    <w:rsid w:val="00110198"/>
    <w:rsid w:val="001103A8"/>
    <w:rsid w:val="0011348F"/>
    <w:rsid w:val="00116B5E"/>
    <w:rsid w:val="0012071B"/>
    <w:rsid w:val="00122F86"/>
    <w:rsid w:val="00136C14"/>
    <w:rsid w:val="001402F4"/>
    <w:rsid w:val="00151A5D"/>
    <w:rsid w:val="00152EC3"/>
    <w:rsid w:val="0016059F"/>
    <w:rsid w:val="00160831"/>
    <w:rsid w:val="001639CA"/>
    <w:rsid w:val="00164D7E"/>
    <w:rsid w:val="00167F58"/>
    <w:rsid w:val="00175469"/>
    <w:rsid w:val="00181CD1"/>
    <w:rsid w:val="00184C3A"/>
    <w:rsid w:val="001922E0"/>
    <w:rsid w:val="00192E6C"/>
    <w:rsid w:val="00193881"/>
    <w:rsid w:val="00196EE0"/>
    <w:rsid w:val="001A2BEB"/>
    <w:rsid w:val="001A4063"/>
    <w:rsid w:val="001B22F4"/>
    <w:rsid w:val="001B27D8"/>
    <w:rsid w:val="001B4DA4"/>
    <w:rsid w:val="001B797E"/>
    <w:rsid w:val="001D13DA"/>
    <w:rsid w:val="001D4D47"/>
    <w:rsid w:val="001D5E8D"/>
    <w:rsid w:val="001D68A5"/>
    <w:rsid w:val="001E00CE"/>
    <w:rsid w:val="001E72AB"/>
    <w:rsid w:val="001F31E1"/>
    <w:rsid w:val="001F624D"/>
    <w:rsid w:val="0020036D"/>
    <w:rsid w:val="00202D42"/>
    <w:rsid w:val="002030C3"/>
    <w:rsid w:val="0021063D"/>
    <w:rsid w:val="0021198F"/>
    <w:rsid w:val="002159AB"/>
    <w:rsid w:val="002165AF"/>
    <w:rsid w:val="00220763"/>
    <w:rsid w:val="0022589D"/>
    <w:rsid w:val="00226C78"/>
    <w:rsid w:val="00236D1E"/>
    <w:rsid w:val="00245B6B"/>
    <w:rsid w:val="00255E0B"/>
    <w:rsid w:val="00266BA6"/>
    <w:rsid w:val="00270495"/>
    <w:rsid w:val="00274619"/>
    <w:rsid w:val="002762BD"/>
    <w:rsid w:val="00277036"/>
    <w:rsid w:val="00286210"/>
    <w:rsid w:val="00290322"/>
    <w:rsid w:val="00292DEF"/>
    <w:rsid w:val="00295A24"/>
    <w:rsid w:val="00295FF2"/>
    <w:rsid w:val="00296A5B"/>
    <w:rsid w:val="002A5F9A"/>
    <w:rsid w:val="002B5494"/>
    <w:rsid w:val="002B6AA0"/>
    <w:rsid w:val="002B713F"/>
    <w:rsid w:val="002B71A4"/>
    <w:rsid w:val="002C15E5"/>
    <w:rsid w:val="002C494D"/>
    <w:rsid w:val="002C495D"/>
    <w:rsid w:val="002D4594"/>
    <w:rsid w:val="002D4AA0"/>
    <w:rsid w:val="002D6BF3"/>
    <w:rsid w:val="002D6C43"/>
    <w:rsid w:val="002D706F"/>
    <w:rsid w:val="002D71DE"/>
    <w:rsid w:val="002F1597"/>
    <w:rsid w:val="002F3693"/>
    <w:rsid w:val="002F39B8"/>
    <w:rsid w:val="002F4BFA"/>
    <w:rsid w:val="00311ECF"/>
    <w:rsid w:val="003137CB"/>
    <w:rsid w:val="00314635"/>
    <w:rsid w:val="00325A57"/>
    <w:rsid w:val="003309A1"/>
    <w:rsid w:val="0033275B"/>
    <w:rsid w:val="003349A9"/>
    <w:rsid w:val="003353F3"/>
    <w:rsid w:val="00341EBE"/>
    <w:rsid w:val="00344E87"/>
    <w:rsid w:val="00356480"/>
    <w:rsid w:val="00357821"/>
    <w:rsid w:val="00357A02"/>
    <w:rsid w:val="0036488C"/>
    <w:rsid w:val="00364D3D"/>
    <w:rsid w:val="00367890"/>
    <w:rsid w:val="003723A3"/>
    <w:rsid w:val="00373D07"/>
    <w:rsid w:val="003745CF"/>
    <w:rsid w:val="003842B6"/>
    <w:rsid w:val="00393DE4"/>
    <w:rsid w:val="003954FC"/>
    <w:rsid w:val="0039718B"/>
    <w:rsid w:val="00397B28"/>
    <w:rsid w:val="003A30B5"/>
    <w:rsid w:val="003A554B"/>
    <w:rsid w:val="003B0BE7"/>
    <w:rsid w:val="003B4C4E"/>
    <w:rsid w:val="003B52AC"/>
    <w:rsid w:val="003C2BC1"/>
    <w:rsid w:val="003C390A"/>
    <w:rsid w:val="003C4371"/>
    <w:rsid w:val="003E0EE2"/>
    <w:rsid w:val="003E1D89"/>
    <w:rsid w:val="003E3589"/>
    <w:rsid w:val="003E48AE"/>
    <w:rsid w:val="003F6FC1"/>
    <w:rsid w:val="00403994"/>
    <w:rsid w:val="004039A4"/>
    <w:rsid w:val="0040451D"/>
    <w:rsid w:val="00410DB7"/>
    <w:rsid w:val="0041320C"/>
    <w:rsid w:val="00415C16"/>
    <w:rsid w:val="004216AE"/>
    <w:rsid w:val="0042275E"/>
    <w:rsid w:val="00423749"/>
    <w:rsid w:val="004237F9"/>
    <w:rsid w:val="004257A5"/>
    <w:rsid w:val="00425BF5"/>
    <w:rsid w:val="00430C31"/>
    <w:rsid w:val="00431EBB"/>
    <w:rsid w:val="00432998"/>
    <w:rsid w:val="004344AE"/>
    <w:rsid w:val="00437FFD"/>
    <w:rsid w:val="0044170A"/>
    <w:rsid w:val="00443CAD"/>
    <w:rsid w:val="004447D9"/>
    <w:rsid w:val="004524A9"/>
    <w:rsid w:val="00453988"/>
    <w:rsid w:val="00454174"/>
    <w:rsid w:val="00454CE9"/>
    <w:rsid w:val="00457306"/>
    <w:rsid w:val="0046087E"/>
    <w:rsid w:val="00461E2B"/>
    <w:rsid w:val="00463FB1"/>
    <w:rsid w:val="00467C96"/>
    <w:rsid w:val="004700D4"/>
    <w:rsid w:val="00482B70"/>
    <w:rsid w:val="00482C42"/>
    <w:rsid w:val="00495DFF"/>
    <w:rsid w:val="00497663"/>
    <w:rsid w:val="004A0386"/>
    <w:rsid w:val="004A67A4"/>
    <w:rsid w:val="004B20D2"/>
    <w:rsid w:val="004B6729"/>
    <w:rsid w:val="004B7EEB"/>
    <w:rsid w:val="004C741E"/>
    <w:rsid w:val="004D056E"/>
    <w:rsid w:val="004D534B"/>
    <w:rsid w:val="004D6E59"/>
    <w:rsid w:val="004E0901"/>
    <w:rsid w:val="004E709B"/>
    <w:rsid w:val="004E7871"/>
    <w:rsid w:val="004F6A0D"/>
    <w:rsid w:val="00503E66"/>
    <w:rsid w:val="00511B5A"/>
    <w:rsid w:val="00516914"/>
    <w:rsid w:val="00516D64"/>
    <w:rsid w:val="005227E8"/>
    <w:rsid w:val="00522E96"/>
    <w:rsid w:val="00524F04"/>
    <w:rsid w:val="00526F50"/>
    <w:rsid w:val="00531235"/>
    <w:rsid w:val="00541BF2"/>
    <w:rsid w:val="0054649F"/>
    <w:rsid w:val="005476F1"/>
    <w:rsid w:val="00552CB2"/>
    <w:rsid w:val="005627EC"/>
    <w:rsid w:val="00577CC0"/>
    <w:rsid w:val="00580665"/>
    <w:rsid w:val="00581256"/>
    <w:rsid w:val="0058406D"/>
    <w:rsid w:val="0058713F"/>
    <w:rsid w:val="00592C57"/>
    <w:rsid w:val="0059384F"/>
    <w:rsid w:val="00597CD1"/>
    <w:rsid w:val="005A4CBB"/>
    <w:rsid w:val="005A7223"/>
    <w:rsid w:val="005B106B"/>
    <w:rsid w:val="005B22E2"/>
    <w:rsid w:val="005C1273"/>
    <w:rsid w:val="005C5B30"/>
    <w:rsid w:val="005C7221"/>
    <w:rsid w:val="005D7ED3"/>
    <w:rsid w:val="005E5DA0"/>
    <w:rsid w:val="005F0349"/>
    <w:rsid w:val="005F7DC4"/>
    <w:rsid w:val="006011D6"/>
    <w:rsid w:val="00601360"/>
    <w:rsid w:val="00601B18"/>
    <w:rsid w:val="0061143F"/>
    <w:rsid w:val="00612D10"/>
    <w:rsid w:val="006225A6"/>
    <w:rsid w:val="00623CE7"/>
    <w:rsid w:val="00647E7A"/>
    <w:rsid w:val="006510DD"/>
    <w:rsid w:val="00651DBB"/>
    <w:rsid w:val="00652784"/>
    <w:rsid w:val="00654678"/>
    <w:rsid w:val="00654AF0"/>
    <w:rsid w:val="00657EA6"/>
    <w:rsid w:val="006727DE"/>
    <w:rsid w:val="006741C5"/>
    <w:rsid w:val="00681244"/>
    <w:rsid w:val="0068190E"/>
    <w:rsid w:val="00681E3E"/>
    <w:rsid w:val="00683AEB"/>
    <w:rsid w:val="00686AFA"/>
    <w:rsid w:val="006879C2"/>
    <w:rsid w:val="006928DB"/>
    <w:rsid w:val="006A0573"/>
    <w:rsid w:val="006A32E2"/>
    <w:rsid w:val="006A5B17"/>
    <w:rsid w:val="006A5B52"/>
    <w:rsid w:val="006A5F95"/>
    <w:rsid w:val="006A6E2B"/>
    <w:rsid w:val="006B17BF"/>
    <w:rsid w:val="006B618A"/>
    <w:rsid w:val="006C01EE"/>
    <w:rsid w:val="006C51FF"/>
    <w:rsid w:val="006D053E"/>
    <w:rsid w:val="006D122F"/>
    <w:rsid w:val="006D2FA2"/>
    <w:rsid w:val="006D3F54"/>
    <w:rsid w:val="006F0F87"/>
    <w:rsid w:val="006F6E70"/>
    <w:rsid w:val="006F79F1"/>
    <w:rsid w:val="00701CE8"/>
    <w:rsid w:val="00703B5E"/>
    <w:rsid w:val="0070697E"/>
    <w:rsid w:val="00711FA6"/>
    <w:rsid w:val="0071215D"/>
    <w:rsid w:val="007212C5"/>
    <w:rsid w:val="00726157"/>
    <w:rsid w:val="00730161"/>
    <w:rsid w:val="00744A12"/>
    <w:rsid w:val="007476DD"/>
    <w:rsid w:val="007521FA"/>
    <w:rsid w:val="00752657"/>
    <w:rsid w:val="0075350D"/>
    <w:rsid w:val="0075354E"/>
    <w:rsid w:val="00760946"/>
    <w:rsid w:val="007625E5"/>
    <w:rsid w:val="007629BB"/>
    <w:rsid w:val="007649BC"/>
    <w:rsid w:val="00771388"/>
    <w:rsid w:val="00780A94"/>
    <w:rsid w:val="00783247"/>
    <w:rsid w:val="00786E8D"/>
    <w:rsid w:val="007930E9"/>
    <w:rsid w:val="00797F3E"/>
    <w:rsid w:val="007A0DC8"/>
    <w:rsid w:val="007A118B"/>
    <w:rsid w:val="007A29E7"/>
    <w:rsid w:val="007A3722"/>
    <w:rsid w:val="007A69FA"/>
    <w:rsid w:val="007B363B"/>
    <w:rsid w:val="007B4804"/>
    <w:rsid w:val="007B69E3"/>
    <w:rsid w:val="007C0C1D"/>
    <w:rsid w:val="007C5C4A"/>
    <w:rsid w:val="007D0B99"/>
    <w:rsid w:val="007D604A"/>
    <w:rsid w:val="007E585B"/>
    <w:rsid w:val="007F12DA"/>
    <w:rsid w:val="007F71F2"/>
    <w:rsid w:val="007F798E"/>
    <w:rsid w:val="0080132F"/>
    <w:rsid w:val="00802E1F"/>
    <w:rsid w:val="00805924"/>
    <w:rsid w:val="008069D3"/>
    <w:rsid w:val="0080748B"/>
    <w:rsid w:val="008203A9"/>
    <w:rsid w:val="00822600"/>
    <w:rsid w:val="00824F2A"/>
    <w:rsid w:val="008261EE"/>
    <w:rsid w:val="008307DB"/>
    <w:rsid w:val="008318F6"/>
    <w:rsid w:val="008442FE"/>
    <w:rsid w:val="00846115"/>
    <w:rsid w:val="0085517A"/>
    <w:rsid w:val="00865223"/>
    <w:rsid w:val="0086577D"/>
    <w:rsid w:val="0087070C"/>
    <w:rsid w:val="00872667"/>
    <w:rsid w:val="00872DDD"/>
    <w:rsid w:val="00887563"/>
    <w:rsid w:val="008A4601"/>
    <w:rsid w:val="008A6F57"/>
    <w:rsid w:val="008A7A06"/>
    <w:rsid w:val="008A7F4D"/>
    <w:rsid w:val="008B267F"/>
    <w:rsid w:val="008B293E"/>
    <w:rsid w:val="008B54F2"/>
    <w:rsid w:val="008B6448"/>
    <w:rsid w:val="008C5169"/>
    <w:rsid w:val="008D2470"/>
    <w:rsid w:val="008D2C07"/>
    <w:rsid w:val="008D6B31"/>
    <w:rsid w:val="008E0155"/>
    <w:rsid w:val="008E0F11"/>
    <w:rsid w:val="008E3242"/>
    <w:rsid w:val="008E34B8"/>
    <w:rsid w:val="008F0760"/>
    <w:rsid w:val="008F3D57"/>
    <w:rsid w:val="008F4926"/>
    <w:rsid w:val="00902A35"/>
    <w:rsid w:val="00903B43"/>
    <w:rsid w:val="00912B7A"/>
    <w:rsid w:val="00913950"/>
    <w:rsid w:val="0091524D"/>
    <w:rsid w:val="00917509"/>
    <w:rsid w:val="00922168"/>
    <w:rsid w:val="009235F0"/>
    <w:rsid w:val="00926420"/>
    <w:rsid w:val="00932CCA"/>
    <w:rsid w:val="00937B07"/>
    <w:rsid w:val="00946BFD"/>
    <w:rsid w:val="00953B54"/>
    <w:rsid w:val="00955620"/>
    <w:rsid w:val="00960CD4"/>
    <w:rsid w:val="00966128"/>
    <w:rsid w:val="0096665B"/>
    <w:rsid w:val="009707AF"/>
    <w:rsid w:val="00972A6E"/>
    <w:rsid w:val="00973EB1"/>
    <w:rsid w:val="009778D7"/>
    <w:rsid w:val="00982E7E"/>
    <w:rsid w:val="009903EA"/>
    <w:rsid w:val="00991838"/>
    <w:rsid w:val="009959E1"/>
    <w:rsid w:val="009978E8"/>
    <w:rsid w:val="009A09A1"/>
    <w:rsid w:val="009A4687"/>
    <w:rsid w:val="009A471A"/>
    <w:rsid w:val="009A557F"/>
    <w:rsid w:val="009A5906"/>
    <w:rsid w:val="009A7B83"/>
    <w:rsid w:val="009B319C"/>
    <w:rsid w:val="009B79E8"/>
    <w:rsid w:val="009D05F0"/>
    <w:rsid w:val="009D0CB7"/>
    <w:rsid w:val="009D6826"/>
    <w:rsid w:val="009D6DB4"/>
    <w:rsid w:val="009E65D9"/>
    <w:rsid w:val="009E7416"/>
    <w:rsid w:val="009F3655"/>
    <w:rsid w:val="009F7EDC"/>
    <w:rsid w:val="00A02125"/>
    <w:rsid w:val="00A07399"/>
    <w:rsid w:val="00A118DB"/>
    <w:rsid w:val="00A13223"/>
    <w:rsid w:val="00A13C13"/>
    <w:rsid w:val="00A20E5E"/>
    <w:rsid w:val="00A24CD4"/>
    <w:rsid w:val="00A27C08"/>
    <w:rsid w:val="00A30904"/>
    <w:rsid w:val="00A34B02"/>
    <w:rsid w:val="00A368B4"/>
    <w:rsid w:val="00A44E94"/>
    <w:rsid w:val="00A50642"/>
    <w:rsid w:val="00A62C68"/>
    <w:rsid w:val="00A63407"/>
    <w:rsid w:val="00A66405"/>
    <w:rsid w:val="00A75CA9"/>
    <w:rsid w:val="00A7779E"/>
    <w:rsid w:val="00A81C8A"/>
    <w:rsid w:val="00A918C9"/>
    <w:rsid w:val="00AA7F18"/>
    <w:rsid w:val="00AC458F"/>
    <w:rsid w:val="00AC5DFC"/>
    <w:rsid w:val="00AD59B9"/>
    <w:rsid w:val="00AE5D22"/>
    <w:rsid w:val="00AF24FB"/>
    <w:rsid w:val="00AF30C6"/>
    <w:rsid w:val="00AF6467"/>
    <w:rsid w:val="00B0373D"/>
    <w:rsid w:val="00B10F30"/>
    <w:rsid w:val="00B115BB"/>
    <w:rsid w:val="00B12911"/>
    <w:rsid w:val="00B160B7"/>
    <w:rsid w:val="00B22B53"/>
    <w:rsid w:val="00B25894"/>
    <w:rsid w:val="00B27887"/>
    <w:rsid w:val="00B30E8E"/>
    <w:rsid w:val="00B35CC7"/>
    <w:rsid w:val="00B364B3"/>
    <w:rsid w:val="00B369CF"/>
    <w:rsid w:val="00B37563"/>
    <w:rsid w:val="00B41C17"/>
    <w:rsid w:val="00B4257F"/>
    <w:rsid w:val="00B4346F"/>
    <w:rsid w:val="00B44C65"/>
    <w:rsid w:val="00B4560D"/>
    <w:rsid w:val="00B45D27"/>
    <w:rsid w:val="00B47A67"/>
    <w:rsid w:val="00B54477"/>
    <w:rsid w:val="00B613A2"/>
    <w:rsid w:val="00B616F1"/>
    <w:rsid w:val="00B62B77"/>
    <w:rsid w:val="00B63603"/>
    <w:rsid w:val="00B65C2F"/>
    <w:rsid w:val="00B7303A"/>
    <w:rsid w:val="00B803CC"/>
    <w:rsid w:val="00B84A62"/>
    <w:rsid w:val="00B85524"/>
    <w:rsid w:val="00B952F0"/>
    <w:rsid w:val="00B97747"/>
    <w:rsid w:val="00BA0868"/>
    <w:rsid w:val="00BA156D"/>
    <w:rsid w:val="00BA27EB"/>
    <w:rsid w:val="00BA3D76"/>
    <w:rsid w:val="00BA4699"/>
    <w:rsid w:val="00BB40FD"/>
    <w:rsid w:val="00BC1982"/>
    <w:rsid w:val="00BC31E0"/>
    <w:rsid w:val="00BC367F"/>
    <w:rsid w:val="00BD0870"/>
    <w:rsid w:val="00BE2986"/>
    <w:rsid w:val="00BE2FD5"/>
    <w:rsid w:val="00BF347E"/>
    <w:rsid w:val="00BF3D14"/>
    <w:rsid w:val="00BF3EF9"/>
    <w:rsid w:val="00BF740E"/>
    <w:rsid w:val="00BF7586"/>
    <w:rsid w:val="00BF771D"/>
    <w:rsid w:val="00C003D4"/>
    <w:rsid w:val="00C06849"/>
    <w:rsid w:val="00C15640"/>
    <w:rsid w:val="00C232AE"/>
    <w:rsid w:val="00C23406"/>
    <w:rsid w:val="00C24CF1"/>
    <w:rsid w:val="00C27807"/>
    <w:rsid w:val="00C30B2B"/>
    <w:rsid w:val="00C324BF"/>
    <w:rsid w:val="00C332EC"/>
    <w:rsid w:val="00C355A3"/>
    <w:rsid w:val="00C44260"/>
    <w:rsid w:val="00C457CB"/>
    <w:rsid w:val="00C57BE8"/>
    <w:rsid w:val="00C62AA7"/>
    <w:rsid w:val="00C678D8"/>
    <w:rsid w:val="00C70751"/>
    <w:rsid w:val="00C71BEA"/>
    <w:rsid w:val="00C72BBD"/>
    <w:rsid w:val="00C7341E"/>
    <w:rsid w:val="00C80DF1"/>
    <w:rsid w:val="00C855FF"/>
    <w:rsid w:val="00C87E77"/>
    <w:rsid w:val="00C907F5"/>
    <w:rsid w:val="00C92B34"/>
    <w:rsid w:val="00C94EAB"/>
    <w:rsid w:val="00CA15AD"/>
    <w:rsid w:val="00CA28FD"/>
    <w:rsid w:val="00CA378F"/>
    <w:rsid w:val="00CA41B6"/>
    <w:rsid w:val="00CB158A"/>
    <w:rsid w:val="00CB2A43"/>
    <w:rsid w:val="00CB7178"/>
    <w:rsid w:val="00CC2330"/>
    <w:rsid w:val="00CC3D55"/>
    <w:rsid w:val="00CC4F73"/>
    <w:rsid w:val="00CC5EFB"/>
    <w:rsid w:val="00CC6B8C"/>
    <w:rsid w:val="00CC73AE"/>
    <w:rsid w:val="00CD0D54"/>
    <w:rsid w:val="00CD37BB"/>
    <w:rsid w:val="00CD4E6B"/>
    <w:rsid w:val="00CD7A3E"/>
    <w:rsid w:val="00CE2EC9"/>
    <w:rsid w:val="00CE558F"/>
    <w:rsid w:val="00CE6052"/>
    <w:rsid w:val="00CF3188"/>
    <w:rsid w:val="00D00592"/>
    <w:rsid w:val="00D02452"/>
    <w:rsid w:val="00D04098"/>
    <w:rsid w:val="00D04C39"/>
    <w:rsid w:val="00D05346"/>
    <w:rsid w:val="00D11CD5"/>
    <w:rsid w:val="00D1747D"/>
    <w:rsid w:val="00D259D1"/>
    <w:rsid w:val="00D306FF"/>
    <w:rsid w:val="00D35BB6"/>
    <w:rsid w:val="00D37C18"/>
    <w:rsid w:val="00D44088"/>
    <w:rsid w:val="00D46FF0"/>
    <w:rsid w:val="00D51C3D"/>
    <w:rsid w:val="00D548C7"/>
    <w:rsid w:val="00D55700"/>
    <w:rsid w:val="00D558CC"/>
    <w:rsid w:val="00D565BD"/>
    <w:rsid w:val="00D642A7"/>
    <w:rsid w:val="00D65F7B"/>
    <w:rsid w:val="00D6713A"/>
    <w:rsid w:val="00D764A0"/>
    <w:rsid w:val="00D84762"/>
    <w:rsid w:val="00D87191"/>
    <w:rsid w:val="00D929F3"/>
    <w:rsid w:val="00D96D8F"/>
    <w:rsid w:val="00DA19CD"/>
    <w:rsid w:val="00DA334D"/>
    <w:rsid w:val="00DA43F1"/>
    <w:rsid w:val="00DA72E4"/>
    <w:rsid w:val="00DB3471"/>
    <w:rsid w:val="00DB4A70"/>
    <w:rsid w:val="00DC0AD1"/>
    <w:rsid w:val="00DC23D8"/>
    <w:rsid w:val="00DD077A"/>
    <w:rsid w:val="00DD361C"/>
    <w:rsid w:val="00DD454A"/>
    <w:rsid w:val="00DD46FD"/>
    <w:rsid w:val="00DD4916"/>
    <w:rsid w:val="00DD64C4"/>
    <w:rsid w:val="00DE2F71"/>
    <w:rsid w:val="00DE5466"/>
    <w:rsid w:val="00DE605D"/>
    <w:rsid w:val="00DF33A0"/>
    <w:rsid w:val="00DF72E7"/>
    <w:rsid w:val="00E04AF0"/>
    <w:rsid w:val="00E04DD0"/>
    <w:rsid w:val="00E05E05"/>
    <w:rsid w:val="00E308CD"/>
    <w:rsid w:val="00E334E9"/>
    <w:rsid w:val="00E35077"/>
    <w:rsid w:val="00E379EE"/>
    <w:rsid w:val="00E404A2"/>
    <w:rsid w:val="00E42A9C"/>
    <w:rsid w:val="00E4530B"/>
    <w:rsid w:val="00E5287F"/>
    <w:rsid w:val="00E6274F"/>
    <w:rsid w:val="00E65DBF"/>
    <w:rsid w:val="00E702FE"/>
    <w:rsid w:val="00E74009"/>
    <w:rsid w:val="00E92B29"/>
    <w:rsid w:val="00E92EED"/>
    <w:rsid w:val="00E938C0"/>
    <w:rsid w:val="00E94D0C"/>
    <w:rsid w:val="00E95FF0"/>
    <w:rsid w:val="00E96716"/>
    <w:rsid w:val="00EA012D"/>
    <w:rsid w:val="00EA5204"/>
    <w:rsid w:val="00EA5787"/>
    <w:rsid w:val="00EA7AD5"/>
    <w:rsid w:val="00EB310C"/>
    <w:rsid w:val="00EC1BFE"/>
    <w:rsid w:val="00EC3051"/>
    <w:rsid w:val="00EC527E"/>
    <w:rsid w:val="00ED027F"/>
    <w:rsid w:val="00ED0DC0"/>
    <w:rsid w:val="00ED0EB4"/>
    <w:rsid w:val="00ED24D4"/>
    <w:rsid w:val="00ED4B19"/>
    <w:rsid w:val="00ED56A1"/>
    <w:rsid w:val="00EE3556"/>
    <w:rsid w:val="00EF0C0F"/>
    <w:rsid w:val="00EF5F80"/>
    <w:rsid w:val="00EF6F6C"/>
    <w:rsid w:val="00F00AFE"/>
    <w:rsid w:val="00F039E7"/>
    <w:rsid w:val="00F0767A"/>
    <w:rsid w:val="00F142C8"/>
    <w:rsid w:val="00F14428"/>
    <w:rsid w:val="00F145ED"/>
    <w:rsid w:val="00F15E7B"/>
    <w:rsid w:val="00F17FD7"/>
    <w:rsid w:val="00F3121B"/>
    <w:rsid w:val="00F34E72"/>
    <w:rsid w:val="00F4254F"/>
    <w:rsid w:val="00F429EF"/>
    <w:rsid w:val="00F43E6A"/>
    <w:rsid w:val="00F52817"/>
    <w:rsid w:val="00F5297E"/>
    <w:rsid w:val="00F648D2"/>
    <w:rsid w:val="00F64D1A"/>
    <w:rsid w:val="00F6529A"/>
    <w:rsid w:val="00F6673A"/>
    <w:rsid w:val="00F73A72"/>
    <w:rsid w:val="00F74296"/>
    <w:rsid w:val="00F82130"/>
    <w:rsid w:val="00F8518D"/>
    <w:rsid w:val="00F87698"/>
    <w:rsid w:val="00F91A5D"/>
    <w:rsid w:val="00FB0E24"/>
    <w:rsid w:val="00FC058C"/>
    <w:rsid w:val="00FC1FEF"/>
    <w:rsid w:val="00FC2280"/>
    <w:rsid w:val="00FC4D7C"/>
    <w:rsid w:val="00FC5CBC"/>
    <w:rsid w:val="00FC6F8D"/>
    <w:rsid w:val="00FC7B98"/>
    <w:rsid w:val="00FD321B"/>
    <w:rsid w:val="00FD5FF8"/>
    <w:rsid w:val="00FD61A9"/>
    <w:rsid w:val="00FD6421"/>
    <w:rsid w:val="00FE356A"/>
    <w:rsid w:val="00FE405D"/>
    <w:rsid w:val="00FF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37B10"/>
  <w15:docId w15:val="{764E4022-A8CD-4F17-B4DD-930831D8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2F"/>
    <w:rPr>
      <w:rFonts w:ascii="Times New Roman" w:eastAsia="Times New Roman" w:hAnsi="Times New Roman"/>
      <w:sz w:val="24"/>
      <w:szCs w:val="24"/>
      <w:lang w:val="en-GB"/>
    </w:rPr>
  </w:style>
  <w:style w:type="paragraph" w:styleId="Heading4">
    <w:name w:val="heading 4"/>
    <w:basedOn w:val="Normal"/>
    <w:next w:val="Normal"/>
    <w:link w:val="Heading4Char"/>
    <w:uiPriority w:val="99"/>
    <w:qFormat/>
    <w:rsid w:val="00B65C2F"/>
    <w:pPr>
      <w:keepNext/>
      <w:ind w:right="-1411"/>
      <w:outlineLvl w:val="3"/>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65C2F"/>
    <w:rPr>
      <w:rFonts w:ascii="Arial" w:hAnsi="Arial" w:cs="Arial"/>
      <w:b/>
      <w:bCs/>
      <w:sz w:val="20"/>
      <w:szCs w:val="20"/>
    </w:rPr>
  </w:style>
  <w:style w:type="paragraph" w:styleId="Header">
    <w:name w:val="header"/>
    <w:basedOn w:val="Normal"/>
    <w:link w:val="HeaderChar"/>
    <w:uiPriority w:val="99"/>
    <w:rsid w:val="00B65C2F"/>
    <w:pPr>
      <w:tabs>
        <w:tab w:val="center" w:pos="4320"/>
        <w:tab w:val="right" w:pos="8640"/>
      </w:tabs>
    </w:pPr>
  </w:style>
  <w:style w:type="character" w:customStyle="1" w:styleId="HeaderChar">
    <w:name w:val="Header Char"/>
    <w:basedOn w:val="DefaultParagraphFont"/>
    <w:link w:val="Header"/>
    <w:uiPriority w:val="99"/>
    <w:locked/>
    <w:rsid w:val="00B65C2F"/>
    <w:rPr>
      <w:rFonts w:ascii="Times New Roman" w:hAnsi="Times New Roman" w:cs="Times New Roman"/>
      <w:sz w:val="24"/>
      <w:szCs w:val="24"/>
    </w:rPr>
  </w:style>
  <w:style w:type="paragraph" w:styleId="Footer">
    <w:name w:val="footer"/>
    <w:basedOn w:val="Normal"/>
    <w:link w:val="FooterChar"/>
    <w:uiPriority w:val="99"/>
    <w:rsid w:val="00B65C2F"/>
    <w:pPr>
      <w:tabs>
        <w:tab w:val="center" w:pos="4320"/>
        <w:tab w:val="right" w:pos="8640"/>
      </w:tabs>
    </w:pPr>
  </w:style>
  <w:style w:type="character" w:customStyle="1" w:styleId="FooterChar">
    <w:name w:val="Footer Char"/>
    <w:basedOn w:val="DefaultParagraphFont"/>
    <w:link w:val="Footer"/>
    <w:uiPriority w:val="99"/>
    <w:locked/>
    <w:rsid w:val="00B65C2F"/>
    <w:rPr>
      <w:rFonts w:ascii="Times New Roman" w:hAnsi="Times New Roman" w:cs="Times New Roman"/>
      <w:sz w:val="24"/>
      <w:szCs w:val="24"/>
    </w:rPr>
  </w:style>
  <w:style w:type="character" w:styleId="PageNumber">
    <w:name w:val="page number"/>
    <w:basedOn w:val="DefaultParagraphFont"/>
    <w:uiPriority w:val="99"/>
    <w:rsid w:val="00B65C2F"/>
    <w:rPr>
      <w:rFonts w:cs="Times New Roman"/>
    </w:rPr>
  </w:style>
  <w:style w:type="paragraph" w:styleId="ListParagraph">
    <w:name w:val="List Paragraph"/>
    <w:basedOn w:val="Normal"/>
    <w:uiPriority w:val="34"/>
    <w:qFormat/>
    <w:rsid w:val="00B65C2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65C2F"/>
    <w:pPr>
      <w:spacing w:before="100" w:beforeAutospacing="1" w:after="100" w:afterAutospacing="1"/>
    </w:pPr>
    <w:rPr>
      <w:lang w:val="en-US"/>
    </w:rPr>
  </w:style>
  <w:style w:type="character" w:customStyle="1" w:styleId="textrunscx131830464">
    <w:name w:val="textrun scx131830464"/>
    <w:basedOn w:val="DefaultParagraphFont"/>
    <w:uiPriority w:val="99"/>
    <w:rsid w:val="00B65C2F"/>
    <w:rPr>
      <w:rFonts w:cs="Times New Roman"/>
    </w:rPr>
  </w:style>
  <w:style w:type="paragraph" w:styleId="BalloonText">
    <w:name w:val="Balloon Text"/>
    <w:basedOn w:val="Normal"/>
    <w:link w:val="BalloonTextChar"/>
    <w:uiPriority w:val="99"/>
    <w:semiHidden/>
    <w:rsid w:val="00B65C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5C2F"/>
    <w:rPr>
      <w:rFonts w:ascii="Tahoma" w:hAnsi="Tahoma" w:cs="Tahoma"/>
      <w:sz w:val="16"/>
      <w:szCs w:val="16"/>
    </w:rPr>
  </w:style>
  <w:style w:type="character" w:styleId="CommentReference">
    <w:name w:val="annotation reference"/>
    <w:basedOn w:val="DefaultParagraphFont"/>
    <w:uiPriority w:val="99"/>
    <w:semiHidden/>
    <w:unhideWhenUsed/>
    <w:rsid w:val="005B22E2"/>
    <w:rPr>
      <w:sz w:val="16"/>
      <w:szCs w:val="16"/>
    </w:rPr>
  </w:style>
  <w:style w:type="paragraph" w:styleId="CommentText">
    <w:name w:val="annotation text"/>
    <w:basedOn w:val="Normal"/>
    <w:link w:val="CommentTextChar"/>
    <w:uiPriority w:val="99"/>
    <w:semiHidden/>
    <w:unhideWhenUsed/>
    <w:rsid w:val="005B22E2"/>
    <w:rPr>
      <w:sz w:val="20"/>
      <w:szCs w:val="20"/>
    </w:rPr>
  </w:style>
  <w:style w:type="character" w:customStyle="1" w:styleId="CommentTextChar">
    <w:name w:val="Comment Text Char"/>
    <w:basedOn w:val="DefaultParagraphFont"/>
    <w:link w:val="CommentText"/>
    <w:uiPriority w:val="99"/>
    <w:semiHidden/>
    <w:rsid w:val="005B22E2"/>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5B22E2"/>
    <w:rPr>
      <w:b/>
      <w:bCs/>
    </w:rPr>
  </w:style>
  <w:style w:type="character" w:customStyle="1" w:styleId="CommentSubjectChar">
    <w:name w:val="Comment Subject Char"/>
    <w:basedOn w:val="CommentTextChar"/>
    <w:link w:val="CommentSubject"/>
    <w:uiPriority w:val="99"/>
    <w:semiHidden/>
    <w:rsid w:val="005B22E2"/>
    <w:rPr>
      <w:rFonts w:ascii="Times New Roman" w:eastAsia="Times New Roman" w:hAnsi="Times New Roman"/>
      <w:b/>
      <w:bCs/>
      <w:sz w:val="20"/>
      <w:szCs w:val="20"/>
      <w:lang w:val="en-GB"/>
    </w:rPr>
  </w:style>
  <w:style w:type="paragraph" w:styleId="BodyText2">
    <w:name w:val="Body Text 2"/>
    <w:basedOn w:val="Normal"/>
    <w:link w:val="BodyText2Char"/>
    <w:semiHidden/>
    <w:rsid w:val="00B45D27"/>
    <w:rPr>
      <w:rFonts w:ascii="Comic Sans MS" w:hAnsi="Comic Sans MS"/>
      <w:b/>
      <w:bCs/>
      <w:sz w:val="22"/>
    </w:rPr>
  </w:style>
  <w:style w:type="character" w:customStyle="1" w:styleId="BodyText2Char">
    <w:name w:val="Body Text 2 Char"/>
    <w:basedOn w:val="DefaultParagraphFont"/>
    <w:link w:val="BodyText2"/>
    <w:semiHidden/>
    <w:rsid w:val="00B45D27"/>
    <w:rPr>
      <w:rFonts w:ascii="Comic Sans MS" w:eastAsia="Times New Roman" w:hAnsi="Comic Sans MS"/>
      <w:b/>
      <w:bCs/>
      <w:szCs w:val="24"/>
      <w:lang w:val="en-GB"/>
    </w:rPr>
  </w:style>
  <w:style w:type="character" w:styleId="Strong">
    <w:name w:val="Strong"/>
    <w:basedOn w:val="DefaultParagraphFont"/>
    <w:uiPriority w:val="22"/>
    <w:qFormat/>
    <w:locked/>
    <w:rsid w:val="00220763"/>
    <w:rPr>
      <w:b/>
      <w:bCs/>
    </w:rPr>
  </w:style>
  <w:style w:type="paragraph" w:styleId="NoSpacing">
    <w:name w:val="No Spacing"/>
    <w:uiPriority w:val="1"/>
    <w:qFormat/>
    <w:rsid w:val="002D6C43"/>
    <w:rPr>
      <w:rFonts w:ascii="Times New Roman" w:eastAsia="Times New Roman" w:hAnsi="Times New Roman"/>
      <w:sz w:val="24"/>
      <w:szCs w:val="24"/>
      <w:lang w:val="en-GB"/>
    </w:rPr>
  </w:style>
  <w:style w:type="table" w:styleId="TableGrid">
    <w:name w:val="Table Grid"/>
    <w:basedOn w:val="TableNormal"/>
    <w:uiPriority w:val="39"/>
    <w:locked/>
    <w:rsid w:val="0073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A67"/>
    <w:rPr>
      <w:color w:val="0000FF" w:themeColor="hyperlink"/>
      <w:u w:val="single"/>
    </w:rPr>
  </w:style>
  <w:style w:type="character" w:styleId="FollowedHyperlink">
    <w:name w:val="FollowedHyperlink"/>
    <w:basedOn w:val="DefaultParagraphFont"/>
    <w:uiPriority w:val="99"/>
    <w:semiHidden/>
    <w:unhideWhenUsed/>
    <w:rsid w:val="00F64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8447">
      <w:bodyDiv w:val="1"/>
      <w:marLeft w:val="0"/>
      <w:marRight w:val="0"/>
      <w:marTop w:val="0"/>
      <w:marBottom w:val="0"/>
      <w:divBdr>
        <w:top w:val="none" w:sz="0" w:space="0" w:color="auto"/>
        <w:left w:val="none" w:sz="0" w:space="0" w:color="auto"/>
        <w:bottom w:val="none" w:sz="0" w:space="0" w:color="auto"/>
        <w:right w:val="none" w:sz="0" w:space="0" w:color="auto"/>
      </w:divBdr>
    </w:div>
    <w:div w:id="78601514">
      <w:bodyDiv w:val="1"/>
      <w:marLeft w:val="0"/>
      <w:marRight w:val="0"/>
      <w:marTop w:val="0"/>
      <w:marBottom w:val="0"/>
      <w:divBdr>
        <w:top w:val="none" w:sz="0" w:space="0" w:color="auto"/>
        <w:left w:val="none" w:sz="0" w:space="0" w:color="auto"/>
        <w:bottom w:val="none" w:sz="0" w:space="0" w:color="auto"/>
        <w:right w:val="none" w:sz="0" w:space="0" w:color="auto"/>
      </w:divBdr>
    </w:div>
    <w:div w:id="84039896">
      <w:bodyDiv w:val="1"/>
      <w:marLeft w:val="0"/>
      <w:marRight w:val="0"/>
      <w:marTop w:val="0"/>
      <w:marBottom w:val="0"/>
      <w:divBdr>
        <w:top w:val="none" w:sz="0" w:space="0" w:color="auto"/>
        <w:left w:val="none" w:sz="0" w:space="0" w:color="auto"/>
        <w:bottom w:val="none" w:sz="0" w:space="0" w:color="auto"/>
        <w:right w:val="none" w:sz="0" w:space="0" w:color="auto"/>
      </w:divBdr>
    </w:div>
    <w:div w:id="111099951">
      <w:bodyDiv w:val="1"/>
      <w:marLeft w:val="0"/>
      <w:marRight w:val="0"/>
      <w:marTop w:val="0"/>
      <w:marBottom w:val="0"/>
      <w:divBdr>
        <w:top w:val="none" w:sz="0" w:space="0" w:color="auto"/>
        <w:left w:val="none" w:sz="0" w:space="0" w:color="auto"/>
        <w:bottom w:val="none" w:sz="0" w:space="0" w:color="auto"/>
        <w:right w:val="none" w:sz="0" w:space="0" w:color="auto"/>
      </w:divBdr>
    </w:div>
    <w:div w:id="118032093">
      <w:bodyDiv w:val="1"/>
      <w:marLeft w:val="0"/>
      <w:marRight w:val="0"/>
      <w:marTop w:val="0"/>
      <w:marBottom w:val="0"/>
      <w:divBdr>
        <w:top w:val="none" w:sz="0" w:space="0" w:color="auto"/>
        <w:left w:val="none" w:sz="0" w:space="0" w:color="auto"/>
        <w:bottom w:val="none" w:sz="0" w:space="0" w:color="auto"/>
        <w:right w:val="none" w:sz="0" w:space="0" w:color="auto"/>
      </w:divBdr>
    </w:div>
    <w:div w:id="122502565">
      <w:bodyDiv w:val="1"/>
      <w:marLeft w:val="0"/>
      <w:marRight w:val="0"/>
      <w:marTop w:val="0"/>
      <w:marBottom w:val="0"/>
      <w:divBdr>
        <w:top w:val="none" w:sz="0" w:space="0" w:color="auto"/>
        <w:left w:val="none" w:sz="0" w:space="0" w:color="auto"/>
        <w:bottom w:val="none" w:sz="0" w:space="0" w:color="auto"/>
        <w:right w:val="none" w:sz="0" w:space="0" w:color="auto"/>
      </w:divBdr>
    </w:div>
    <w:div w:id="188763868">
      <w:bodyDiv w:val="1"/>
      <w:marLeft w:val="0"/>
      <w:marRight w:val="0"/>
      <w:marTop w:val="0"/>
      <w:marBottom w:val="0"/>
      <w:divBdr>
        <w:top w:val="none" w:sz="0" w:space="0" w:color="auto"/>
        <w:left w:val="none" w:sz="0" w:space="0" w:color="auto"/>
        <w:bottom w:val="none" w:sz="0" w:space="0" w:color="auto"/>
        <w:right w:val="none" w:sz="0" w:space="0" w:color="auto"/>
      </w:divBdr>
    </w:div>
    <w:div w:id="220335269">
      <w:bodyDiv w:val="1"/>
      <w:marLeft w:val="0"/>
      <w:marRight w:val="0"/>
      <w:marTop w:val="0"/>
      <w:marBottom w:val="0"/>
      <w:divBdr>
        <w:top w:val="none" w:sz="0" w:space="0" w:color="auto"/>
        <w:left w:val="none" w:sz="0" w:space="0" w:color="auto"/>
        <w:bottom w:val="none" w:sz="0" w:space="0" w:color="auto"/>
        <w:right w:val="none" w:sz="0" w:space="0" w:color="auto"/>
      </w:divBdr>
    </w:div>
    <w:div w:id="221524032">
      <w:bodyDiv w:val="1"/>
      <w:marLeft w:val="0"/>
      <w:marRight w:val="0"/>
      <w:marTop w:val="0"/>
      <w:marBottom w:val="0"/>
      <w:divBdr>
        <w:top w:val="none" w:sz="0" w:space="0" w:color="auto"/>
        <w:left w:val="none" w:sz="0" w:space="0" w:color="auto"/>
        <w:bottom w:val="none" w:sz="0" w:space="0" w:color="auto"/>
        <w:right w:val="none" w:sz="0" w:space="0" w:color="auto"/>
      </w:divBdr>
    </w:div>
    <w:div w:id="226112283">
      <w:bodyDiv w:val="1"/>
      <w:marLeft w:val="0"/>
      <w:marRight w:val="0"/>
      <w:marTop w:val="0"/>
      <w:marBottom w:val="0"/>
      <w:divBdr>
        <w:top w:val="none" w:sz="0" w:space="0" w:color="auto"/>
        <w:left w:val="none" w:sz="0" w:space="0" w:color="auto"/>
        <w:bottom w:val="none" w:sz="0" w:space="0" w:color="auto"/>
        <w:right w:val="none" w:sz="0" w:space="0" w:color="auto"/>
      </w:divBdr>
    </w:div>
    <w:div w:id="294524525">
      <w:bodyDiv w:val="1"/>
      <w:marLeft w:val="0"/>
      <w:marRight w:val="0"/>
      <w:marTop w:val="0"/>
      <w:marBottom w:val="0"/>
      <w:divBdr>
        <w:top w:val="none" w:sz="0" w:space="0" w:color="auto"/>
        <w:left w:val="none" w:sz="0" w:space="0" w:color="auto"/>
        <w:bottom w:val="none" w:sz="0" w:space="0" w:color="auto"/>
        <w:right w:val="none" w:sz="0" w:space="0" w:color="auto"/>
      </w:divBdr>
    </w:div>
    <w:div w:id="298875897">
      <w:bodyDiv w:val="1"/>
      <w:marLeft w:val="0"/>
      <w:marRight w:val="0"/>
      <w:marTop w:val="0"/>
      <w:marBottom w:val="0"/>
      <w:divBdr>
        <w:top w:val="none" w:sz="0" w:space="0" w:color="auto"/>
        <w:left w:val="none" w:sz="0" w:space="0" w:color="auto"/>
        <w:bottom w:val="none" w:sz="0" w:space="0" w:color="auto"/>
        <w:right w:val="none" w:sz="0" w:space="0" w:color="auto"/>
      </w:divBdr>
    </w:div>
    <w:div w:id="383795117">
      <w:bodyDiv w:val="1"/>
      <w:marLeft w:val="0"/>
      <w:marRight w:val="0"/>
      <w:marTop w:val="0"/>
      <w:marBottom w:val="0"/>
      <w:divBdr>
        <w:top w:val="none" w:sz="0" w:space="0" w:color="auto"/>
        <w:left w:val="none" w:sz="0" w:space="0" w:color="auto"/>
        <w:bottom w:val="none" w:sz="0" w:space="0" w:color="auto"/>
        <w:right w:val="none" w:sz="0" w:space="0" w:color="auto"/>
      </w:divBdr>
    </w:div>
    <w:div w:id="387150637">
      <w:bodyDiv w:val="1"/>
      <w:marLeft w:val="0"/>
      <w:marRight w:val="0"/>
      <w:marTop w:val="0"/>
      <w:marBottom w:val="0"/>
      <w:divBdr>
        <w:top w:val="none" w:sz="0" w:space="0" w:color="auto"/>
        <w:left w:val="none" w:sz="0" w:space="0" w:color="auto"/>
        <w:bottom w:val="none" w:sz="0" w:space="0" w:color="auto"/>
        <w:right w:val="none" w:sz="0" w:space="0" w:color="auto"/>
      </w:divBdr>
      <w:divsChild>
        <w:div w:id="1543980277">
          <w:marLeft w:val="0"/>
          <w:marRight w:val="0"/>
          <w:marTop w:val="0"/>
          <w:marBottom w:val="0"/>
          <w:divBdr>
            <w:top w:val="none" w:sz="0" w:space="0" w:color="auto"/>
            <w:left w:val="none" w:sz="0" w:space="0" w:color="auto"/>
            <w:bottom w:val="none" w:sz="0" w:space="0" w:color="auto"/>
            <w:right w:val="none" w:sz="0" w:space="0" w:color="auto"/>
          </w:divBdr>
          <w:divsChild>
            <w:div w:id="721250180">
              <w:marLeft w:val="0"/>
              <w:marRight w:val="0"/>
              <w:marTop w:val="450"/>
              <w:marBottom w:val="0"/>
              <w:divBdr>
                <w:top w:val="none" w:sz="0" w:space="0" w:color="auto"/>
                <w:left w:val="none" w:sz="0" w:space="0" w:color="auto"/>
                <w:bottom w:val="none" w:sz="0" w:space="0" w:color="auto"/>
                <w:right w:val="none" w:sz="0" w:space="0" w:color="auto"/>
              </w:divBdr>
              <w:divsChild>
                <w:div w:id="1661890232">
                  <w:marLeft w:val="0"/>
                  <w:marRight w:val="0"/>
                  <w:marTop w:val="0"/>
                  <w:marBottom w:val="0"/>
                  <w:divBdr>
                    <w:top w:val="single" w:sz="6" w:space="20" w:color="DBDBDB"/>
                    <w:left w:val="single" w:sz="6" w:space="26" w:color="DBDBDB"/>
                    <w:bottom w:val="single" w:sz="6" w:space="31" w:color="DBDBDB"/>
                    <w:right w:val="single" w:sz="6" w:space="24" w:color="DBDBDB"/>
                  </w:divBdr>
                  <w:divsChild>
                    <w:div w:id="1517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3566">
      <w:bodyDiv w:val="1"/>
      <w:marLeft w:val="0"/>
      <w:marRight w:val="0"/>
      <w:marTop w:val="0"/>
      <w:marBottom w:val="0"/>
      <w:divBdr>
        <w:top w:val="none" w:sz="0" w:space="0" w:color="auto"/>
        <w:left w:val="none" w:sz="0" w:space="0" w:color="auto"/>
        <w:bottom w:val="none" w:sz="0" w:space="0" w:color="auto"/>
        <w:right w:val="none" w:sz="0" w:space="0" w:color="auto"/>
      </w:divBdr>
    </w:div>
    <w:div w:id="445467774">
      <w:bodyDiv w:val="1"/>
      <w:marLeft w:val="0"/>
      <w:marRight w:val="0"/>
      <w:marTop w:val="0"/>
      <w:marBottom w:val="0"/>
      <w:divBdr>
        <w:top w:val="none" w:sz="0" w:space="0" w:color="auto"/>
        <w:left w:val="none" w:sz="0" w:space="0" w:color="auto"/>
        <w:bottom w:val="none" w:sz="0" w:space="0" w:color="auto"/>
        <w:right w:val="none" w:sz="0" w:space="0" w:color="auto"/>
      </w:divBdr>
    </w:div>
    <w:div w:id="452679335">
      <w:bodyDiv w:val="1"/>
      <w:marLeft w:val="0"/>
      <w:marRight w:val="0"/>
      <w:marTop w:val="0"/>
      <w:marBottom w:val="0"/>
      <w:divBdr>
        <w:top w:val="none" w:sz="0" w:space="0" w:color="auto"/>
        <w:left w:val="none" w:sz="0" w:space="0" w:color="auto"/>
        <w:bottom w:val="none" w:sz="0" w:space="0" w:color="auto"/>
        <w:right w:val="none" w:sz="0" w:space="0" w:color="auto"/>
      </w:divBdr>
    </w:div>
    <w:div w:id="456141270">
      <w:bodyDiv w:val="1"/>
      <w:marLeft w:val="0"/>
      <w:marRight w:val="0"/>
      <w:marTop w:val="0"/>
      <w:marBottom w:val="0"/>
      <w:divBdr>
        <w:top w:val="none" w:sz="0" w:space="0" w:color="auto"/>
        <w:left w:val="none" w:sz="0" w:space="0" w:color="auto"/>
        <w:bottom w:val="none" w:sz="0" w:space="0" w:color="auto"/>
        <w:right w:val="none" w:sz="0" w:space="0" w:color="auto"/>
      </w:divBdr>
    </w:div>
    <w:div w:id="460807736">
      <w:bodyDiv w:val="1"/>
      <w:marLeft w:val="0"/>
      <w:marRight w:val="0"/>
      <w:marTop w:val="0"/>
      <w:marBottom w:val="0"/>
      <w:divBdr>
        <w:top w:val="none" w:sz="0" w:space="0" w:color="auto"/>
        <w:left w:val="none" w:sz="0" w:space="0" w:color="auto"/>
        <w:bottom w:val="none" w:sz="0" w:space="0" w:color="auto"/>
        <w:right w:val="none" w:sz="0" w:space="0" w:color="auto"/>
      </w:divBdr>
    </w:div>
    <w:div w:id="494077117">
      <w:bodyDiv w:val="1"/>
      <w:marLeft w:val="0"/>
      <w:marRight w:val="0"/>
      <w:marTop w:val="0"/>
      <w:marBottom w:val="0"/>
      <w:divBdr>
        <w:top w:val="none" w:sz="0" w:space="0" w:color="auto"/>
        <w:left w:val="none" w:sz="0" w:space="0" w:color="auto"/>
        <w:bottom w:val="none" w:sz="0" w:space="0" w:color="auto"/>
        <w:right w:val="none" w:sz="0" w:space="0" w:color="auto"/>
      </w:divBdr>
    </w:div>
    <w:div w:id="521165910">
      <w:bodyDiv w:val="1"/>
      <w:marLeft w:val="0"/>
      <w:marRight w:val="0"/>
      <w:marTop w:val="0"/>
      <w:marBottom w:val="0"/>
      <w:divBdr>
        <w:top w:val="none" w:sz="0" w:space="0" w:color="auto"/>
        <w:left w:val="none" w:sz="0" w:space="0" w:color="auto"/>
        <w:bottom w:val="none" w:sz="0" w:space="0" w:color="auto"/>
        <w:right w:val="none" w:sz="0" w:space="0" w:color="auto"/>
      </w:divBdr>
    </w:div>
    <w:div w:id="612977891">
      <w:bodyDiv w:val="1"/>
      <w:marLeft w:val="0"/>
      <w:marRight w:val="0"/>
      <w:marTop w:val="0"/>
      <w:marBottom w:val="0"/>
      <w:divBdr>
        <w:top w:val="none" w:sz="0" w:space="0" w:color="auto"/>
        <w:left w:val="none" w:sz="0" w:space="0" w:color="auto"/>
        <w:bottom w:val="none" w:sz="0" w:space="0" w:color="auto"/>
        <w:right w:val="none" w:sz="0" w:space="0" w:color="auto"/>
      </w:divBdr>
    </w:div>
    <w:div w:id="646085449">
      <w:bodyDiv w:val="1"/>
      <w:marLeft w:val="0"/>
      <w:marRight w:val="0"/>
      <w:marTop w:val="0"/>
      <w:marBottom w:val="0"/>
      <w:divBdr>
        <w:top w:val="none" w:sz="0" w:space="0" w:color="auto"/>
        <w:left w:val="none" w:sz="0" w:space="0" w:color="auto"/>
        <w:bottom w:val="none" w:sz="0" w:space="0" w:color="auto"/>
        <w:right w:val="none" w:sz="0" w:space="0" w:color="auto"/>
      </w:divBdr>
    </w:div>
    <w:div w:id="652567712">
      <w:bodyDiv w:val="1"/>
      <w:marLeft w:val="0"/>
      <w:marRight w:val="0"/>
      <w:marTop w:val="0"/>
      <w:marBottom w:val="0"/>
      <w:divBdr>
        <w:top w:val="none" w:sz="0" w:space="0" w:color="auto"/>
        <w:left w:val="none" w:sz="0" w:space="0" w:color="auto"/>
        <w:bottom w:val="none" w:sz="0" w:space="0" w:color="auto"/>
        <w:right w:val="none" w:sz="0" w:space="0" w:color="auto"/>
      </w:divBdr>
    </w:div>
    <w:div w:id="691224337">
      <w:bodyDiv w:val="1"/>
      <w:marLeft w:val="0"/>
      <w:marRight w:val="0"/>
      <w:marTop w:val="0"/>
      <w:marBottom w:val="0"/>
      <w:divBdr>
        <w:top w:val="none" w:sz="0" w:space="0" w:color="auto"/>
        <w:left w:val="none" w:sz="0" w:space="0" w:color="auto"/>
        <w:bottom w:val="none" w:sz="0" w:space="0" w:color="auto"/>
        <w:right w:val="none" w:sz="0" w:space="0" w:color="auto"/>
      </w:divBdr>
    </w:div>
    <w:div w:id="696811317">
      <w:bodyDiv w:val="1"/>
      <w:marLeft w:val="0"/>
      <w:marRight w:val="0"/>
      <w:marTop w:val="0"/>
      <w:marBottom w:val="0"/>
      <w:divBdr>
        <w:top w:val="none" w:sz="0" w:space="0" w:color="auto"/>
        <w:left w:val="none" w:sz="0" w:space="0" w:color="auto"/>
        <w:bottom w:val="none" w:sz="0" w:space="0" w:color="auto"/>
        <w:right w:val="none" w:sz="0" w:space="0" w:color="auto"/>
      </w:divBdr>
    </w:div>
    <w:div w:id="714351062">
      <w:bodyDiv w:val="1"/>
      <w:marLeft w:val="0"/>
      <w:marRight w:val="0"/>
      <w:marTop w:val="0"/>
      <w:marBottom w:val="0"/>
      <w:divBdr>
        <w:top w:val="none" w:sz="0" w:space="0" w:color="auto"/>
        <w:left w:val="none" w:sz="0" w:space="0" w:color="auto"/>
        <w:bottom w:val="none" w:sz="0" w:space="0" w:color="auto"/>
        <w:right w:val="none" w:sz="0" w:space="0" w:color="auto"/>
      </w:divBdr>
    </w:div>
    <w:div w:id="718475089">
      <w:bodyDiv w:val="1"/>
      <w:marLeft w:val="0"/>
      <w:marRight w:val="0"/>
      <w:marTop w:val="0"/>
      <w:marBottom w:val="0"/>
      <w:divBdr>
        <w:top w:val="none" w:sz="0" w:space="0" w:color="auto"/>
        <w:left w:val="none" w:sz="0" w:space="0" w:color="auto"/>
        <w:bottom w:val="none" w:sz="0" w:space="0" w:color="auto"/>
        <w:right w:val="none" w:sz="0" w:space="0" w:color="auto"/>
      </w:divBdr>
    </w:div>
    <w:div w:id="723069076">
      <w:bodyDiv w:val="1"/>
      <w:marLeft w:val="0"/>
      <w:marRight w:val="0"/>
      <w:marTop w:val="0"/>
      <w:marBottom w:val="0"/>
      <w:divBdr>
        <w:top w:val="none" w:sz="0" w:space="0" w:color="auto"/>
        <w:left w:val="none" w:sz="0" w:space="0" w:color="auto"/>
        <w:bottom w:val="none" w:sz="0" w:space="0" w:color="auto"/>
        <w:right w:val="none" w:sz="0" w:space="0" w:color="auto"/>
      </w:divBdr>
    </w:div>
    <w:div w:id="739519028">
      <w:bodyDiv w:val="1"/>
      <w:marLeft w:val="0"/>
      <w:marRight w:val="0"/>
      <w:marTop w:val="0"/>
      <w:marBottom w:val="0"/>
      <w:divBdr>
        <w:top w:val="none" w:sz="0" w:space="0" w:color="auto"/>
        <w:left w:val="none" w:sz="0" w:space="0" w:color="auto"/>
        <w:bottom w:val="none" w:sz="0" w:space="0" w:color="auto"/>
        <w:right w:val="none" w:sz="0" w:space="0" w:color="auto"/>
      </w:divBdr>
    </w:div>
    <w:div w:id="775516888">
      <w:bodyDiv w:val="1"/>
      <w:marLeft w:val="0"/>
      <w:marRight w:val="0"/>
      <w:marTop w:val="0"/>
      <w:marBottom w:val="0"/>
      <w:divBdr>
        <w:top w:val="none" w:sz="0" w:space="0" w:color="auto"/>
        <w:left w:val="none" w:sz="0" w:space="0" w:color="auto"/>
        <w:bottom w:val="none" w:sz="0" w:space="0" w:color="auto"/>
        <w:right w:val="none" w:sz="0" w:space="0" w:color="auto"/>
      </w:divBdr>
    </w:div>
    <w:div w:id="800339745">
      <w:bodyDiv w:val="1"/>
      <w:marLeft w:val="0"/>
      <w:marRight w:val="0"/>
      <w:marTop w:val="0"/>
      <w:marBottom w:val="0"/>
      <w:divBdr>
        <w:top w:val="none" w:sz="0" w:space="0" w:color="auto"/>
        <w:left w:val="none" w:sz="0" w:space="0" w:color="auto"/>
        <w:bottom w:val="none" w:sz="0" w:space="0" w:color="auto"/>
        <w:right w:val="none" w:sz="0" w:space="0" w:color="auto"/>
      </w:divBdr>
    </w:div>
    <w:div w:id="824512732">
      <w:bodyDiv w:val="1"/>
      <w:marLeft w:val="0"/>
      <w:marRight w:val="0"/>
      <w:marTop w:val="0"/>
      <w:marBottom w:val="0"/>
      <w:divBdr>
        <w:top w:val="none" w:sz="0" w:space="0" w:color="auto"/>
        <w:left w:val="none" w:sz="0" w:space="0" w:color="auto"/>
        <w:bottom w:val="none" w:sz="0" w:space="0" w:color="auto"/>
        <w:right w:val="none" w:sz="0" w:space="0" w:color="auto"/>
      </w:divBdr>
    </w:div>
    <w:div w:id="841773640">
      <w:bodyDiv w:val="1"/>
      <w:marLeft w:val="0"/>
      <w:marRight w:val="0"/>
      <w:marTop w:val="0"/>
      <w:marBottom w:val="0"/>
      <w:divBdr>
        <w:top w:val="none" w:sz="0" w:space="0" w:color="auto"/>
        <w:left w:val="none" w:sz="0" w:space="0" w:color="auto"/>
        <w:bottom w:val="none" w:sz="0" w:space="0" w:color="auto"/>
        <w:right w:val="none" w:sz="0" w:space="0" w:color="auto"/>
      </w:divBdr>
    </w:div>
    <w:div w:id="846754189">
      <w:bodyDiv w:val="1"/>
      <w:marLeft w:val="0"/>
      <w:marRight w:val="0"/>
      <w:marTop w:val="0"/>
      <w:marBottom w:val="0"/>
      <w:divBdr>
        <w:top w:val="none" w:sz="0" w:space="0" w:color="auto"/>
        <w:left w:val="none" w:sz="0" w:space="0" w:color="auto"/>
        <w:bottom w:val="none" w:sz="0" w:space="0" w:color="auto"/>
        <w:right w:val="none" w:sz="0" w:space="0" w:color="auto"/>
      </w:divBdr>
    </w:div>
    <w:div w:id="875120558">
      <w:bodyDiv w:val="1"/>
      <w:marLeft w:val="0"/>
      <w:marRight w:val="0"/>
      <w:marTop w:val="0"/>
      <w:marBottom w:val="0"/>
      <w:divBdr>
        <w:top w:val="none" w:sz="0" w:space="0" w:color="auto"/>
        <w:left w:val="none" w:sz="0" w:space="0" w:color="auto"/>
        <w:bottom w:val="none" w:sz="0" w:space="0" w:color="auto"/>
        <w:right w:val="none" w:sz="0" w:space="0" w:color="auto"/>
      </w:divBdr>
    </w:div>
    <w:div w:id="898636239">
      <w:bodyDiv w:val="1"/>
      <w:marLeft w:val="0"/>
      <w:marRight w:val="0"/>
      <w:marTop w:val="0"/>
      <w:marBottom w:val="0"/>
      <w:divBdr>
        <w:top w:val="none" w:sz="0" w:space="0" w:color="auto"/>
        <w:left w:val="none" w:sz="0" w:space="0" w:color="auto"/>
        <w:bottom w:val="none" w:sz="0" w:space="0" w:color="auto"/>
        <w:right w:val="none" w:sz="0" w:space="0" w:color="auto"/>
      </w:divBdr>
    </w:div>
    <w:div w:id="900600686">
      <w:bodyDiv w:val="1"/>
      <w:marLeft w:val="0"/>
      <w:marRight w:val="0"/>
      <w:marTop w:val="0"/>
      <w:marBottom w:val="0"/>
      <w:divBdr>
        <w:top w:val="none" w:sz="0" w:space="0" w:color="auto"/>
        <w:left w:val="none" w:sz="0" w:space="0" w:color="auto"/>
        <w:bottom w:val="none" w:sz="0" w:space="0" w:color="auto"/>
        <w:right w:val="none" w:sz="0" w:space="0" w:color="auto"/>
      </w:divBdr>
    </w:div>
    <w:div w:id="903298302">
      <w:bodyDiv w:val="1"/>
      <w:marLeft w:val="0"/>
      <w:marRight w:val="0"/>
      <w:marTop w:val="0"/>
      <w:marBottom w:val="0"/>
      <w:divBdr>
        <w:top w:val="none" w:sz="0" w:space="0" w:color="auto"/>
        <w:left w:val="none" w:sz="0" w:space="0" w:color="auto"/>
        <w:bottom w:val="none" w:sz="0" w:space="0" w:color="auto"/>
        <w:right w:val="none" w:sz="0" w:space="0" w:color="auto"/>
      </w:divBdr>
    </w:div>
    <w:div w:id="965307356">
      <w:bodyDiv w:val="1"/>
      <w:marLeft w:val="0"/>
      <w:marRight w:val="0"/>
      <w:marTop w:val="0"/>
      <w:marBottom w:val="0"/>
      <w:divBdr>
        <w:top w:val="none" w:sz="0" w:space="0" w:color="auto"/>
        <w:left w:val="none" w:sz="0" w:space="0" w:color="auto"/>
        <w:bottom w:val="none" w:sz="0" w:space="0" w:color="auto"/>
        <w:right w:val="none" w:sz="0" w:space="0" w:color="auto"/>
      </w:divBdr>
    </w:div>
    <w:div w:id="969939241">
      <w:bodyDiv w:val="1"/>
      <w:marLeft w:val="0"/>
      <w:marRight w:val="0"/>
      <w:marTop w:val="0"/>
      <w:marBottom w:val="0"/>
      <w:divBdr>
        <w:top w:val="none" w:sz="0" w:space="0" w:color="auto"/>
        <w:left w:val="none" w:sz="0" w:space="0" w:color="auto"/>
        <w:bottom w:val="none" w:sz="0" w:space="0" w:color="auto"/>
        <w:right w:val="none" w:sz="0" w:space="0" w:color="auto"/>
      </w:divBdr>
    </w:div>
    <w:div w:id="1004018826">
      <w:bodyDiv w:val="1"/>
      <w:marLeft w:val="0"/>
      <w:marRight w:val="0"/>
      <w:marTop w:val="0"/>
      <w:marBottom w:val="0"/>
      <w:divBdr>
        <w:top w:val="none" w:sz="0" w:space="0" w:color="auto"/>
        <w:left w:val="none" w:sz="0" w:space="0" w:color="auto"/>
        <w:bottom w:val="none" w:sz="0" w:space="0" w:color="auto"/>
        <w:right w:val="none" w:sz="0" w:space="0" w:color="auto"/>
      </w:divBdr>
    </w:div>
    <w:div w:id="1073045746">
      <w:bodyDiv w:val="1"/>
      <w:marLeft w:val="0"/>
      <w:marRight w:val="0"/>
      <w:marTop w:val="0"/>
      <w:marBottom w:val="0"/>
      <w:divBdr>
        <w:top w:val="none" w:sz="0" w:space="0" w:color="auto"/>
        <w:left w:val="none" w:sz="0" w:space="0" w:color="auto"/>
        <w:bottom w:val="none" w:sz="0" w:space="0" w:color="auto"/>
        <w:right w:val="none" w:sz="0" w:space="0" w:color="auto"/>
      </w:divBdr>
    </w:div>
    <w:div w:id="1099109062">
      <w:bodyDiv w:val="1"/>
      <w:marLeft w:val="0"/>
      <w:marRight w:val="0"/>
      <w:marTop w:val="0"/>
      <w:marBottom w:val="0"/>
      <w:divBdr>
        <w:top w:val="none" w:sz="0" w:space="0" w:color="auto"/>
        <w:left w:val="none" w:sz="0" w:space="0" w:color="auto"/>
        <w:bottom w:val="none" w:sz="0" w:space="0" w:color="auto"/>
        <w:right w:val="none" w:sz="0" w:space="0" w:color="auto"/>
      </w:divBdr>
    </w:div>
    <w:div w:id="1155344386">
      <w:bodyDiv w:val="1"/>
      <w:marLeft w:val="0"/>
      <w:marRight w:val="0"/>
      <w:marTop w:val="0"/>
      <w:marBottom w:val="0"/>
      <w:divBdr>
        <w:top w:val="none" w:sz="0" w:space="0" w:color="auto"/>
        <w:left w:val="none" w:sz="0" w:space="0" w:color="auto"/>
        <w:bottom w:val="none" w:sz="0" w:space="0" w:color="auto"/>
        <w:right w:val="none" w:sz="0" w:space="0" w:color="auto"/>
      </w:divBdr>
    </w:div>
    <w:div w:id="1168328696">
      <w:bodyDiv w:val="1"/>
      <w:marLeft w:val="0"/>
      <w:marRight w:val="0"/>
      <w:marTop w:val="0"/>
      <w:marBottom w:val="0"/>
      <w:divBdr>
        <w:top w:val="none" w:sz="0" w:space="0" w:color="auto"/>
        <w:left w:val="none" w:sz="0" w:space="0" w:color="auto"/>
        <w:bottom w:val="none" w:sz="0" w:space="0" w:color="auto"/>
        <w:right w:val="none" w:sz="0" w:space="0" w:color="auto"/>
      </w:divBdr>
    </w:div>
    <w:div w:id="1183134060">
      <w:bodyDiv w:val="1"/>
      <w:marLeft w:val="0"/>
      <w:marRight w:val="0"/>
      <w:marTop w:val="0"/>
      <w:marBottom w:val="0"/>
      <w:divBdr>
        <w:top w:val="none" w:sz="0" w:space="0" w:color="auto"/>
        <w:left w:val="none" w:sz="0" w:space="0" w:color="auto"/>
        <w:bottom w:val="none" w:sz="0" w:space="0" w:color="auto"/>
        <w:right w:val="none" w:sz="0" w:space="0" w:color="auto"/>
      </w:divBdr>
    </w:div>
    <w:div w:id="1254317123">
      <w:bodyDiv w:val="1"/>
      <w:marLeft w:val="0"/>
      <w:marRight w:val="0"/>
      <w:marTop w:val="0"/>
      <w:marBottom w:val="0"/>
      <w:divBdr>
        <w:top w:val="none" w:sz="0" w:space="0" w:color="auto"/>
        <w:left w:val="none" w:sz="0" w:space="0" w:color="auto"/>
        <w:bottom w:val="none" w:sz="0" w:space="0" w:color="auto"/>
        <w:right w:val="none" w:sz="0" w:space="0" w:color="auto"/>
      </w:divBdr>
    </w:div>
    <w:div w:id="1399135049">
      <w:bodyDiv w:val="1"/>
      <w:marLeft w:val="0"/>
      <w:marRight w:val="0"/>
      <w:marTop w:val="0"/>
      <w:marBottom w:val="0"/>
      <w:divBdr>
        <w:top w:val="none" w:sz="0" w:space="0" w:color="auto"/>
        <w:left w:val="none" w:sz="0" w:space="0" w:color="auto"/>
        <w:bottom w:val="none" w:sz="0" w:space="0" w:color="auto"/>
        <w:right w:val="none" w:sz="0" w:space="0" w:color="auto"/>
      </w:divBdr>
    </w:div>
    <w:div w:id="1417559922">
      <w:bodyDiv w:val="1"/>
      <w:marLeft w:val="0"/>
      <w:marRight w:val="0"/>
      <w:marTop w:val="0"/>
      <w:marBottom w:val="0"/>
      <w:divBdr>
        <w:top w:val="none" w:sz="0" w:space="0" w:color="auto"/>
        <w:left w:val="none" w:sz="0" w:space="0" w:color="auto"/>
        <w:bottom w:val="none" w:sz="0" w:space="0" w:color="auto"/>
        <w:right w:val="none" w:sz="0" w:space="0" w:color="auto"/>
      </w:divBdr>
    </w:div>
    <w:div w:id="1484741187">
      <w:bodyDiv w:val="1"/>
      <w:marLeft w:val="0"/>
      <w:marRight w:val="0"/>
      <w:marTop w:val="0"/>
      <w:marBottom w:val="0"/>
      <w:divBdr>
        <w:top w:val="none" w:sz="0" w:space="0" w:color="auto"/>
        <w:left w:val="none" w:sz="0" w:space="0" w:color="auto"/>
        <w:bottom w:val="none" w:sz="0" w:space="0" w:color="auto"/>
        <w:right w:val="none" w:sz="0" w:space="0" w:color="auto"/>
      </w:divBdr>
    </w:div>
    <w:div w:id="1506700895">
      <w:bodyDiv w:val="1"/>
      <w:marLeft w:val="0"/>
      <w:marRight w:val="0"/>
      <w:marTop w:val="0"/>
      <w:marBottom w:val="0"/>
      <w:divBdr>
        <w:top w:val="none" w:sz="0" w:space="0" w:color="auto"/>
        <w:left w:val="none" w:sz="0" w:space="0" w:color="auto"/>
        <w:bottom w:val="none" w:sz="0" w:space="0" w:color="auto"/>
        <w:right w:val="none" w:sz="0" w:space="0" w:color="auto"/>
      </w:divBdr>
    </w:div>
    <w:div w:id="1571620808">
      <w:bodyDiv w:val="1"/>
      <w:marLeft w:val="0"/>
      <w:marRight w:val="0"/>
      <w:marTop w:val="0"/>
      <w:marBottom w:val="0"/>
      <w:divBdr>
        <w:top w:val="none" w:sz="0" w:space="0" w:color="auto"/>
        <w:left w:val="none" w:sz="0" w:space="0" w:color="auto"/>
        <w:bottom w:val="none" w:sz="0" w:space="0" w:color="auto"/>
        <w:right w:val="none" w:sz="0" w:space="0" w:color="auto"/>
      </w:divBdr>
    </w:div>
    <w:div w:id="1577321709">
      <w:bodyDiv w:val="1"/>
      <w:marLeft w:val="0"/>
      <w:marRight w:val="0"/>
      <w:marTop w:val="0"/>
      <w:marBottom w:val="0"/>
      <w:divBdr>
        <w:top w:val="none" w:sz="0" w:space="0" w:color="auto"/>
        <w:left w:val="none" w:sz="0" w:space="0" w:color="auto"/>
        <w:bottom w:val="none" w:sz="0" w:space="0" w:color="auto"/>
        <w:right w:val="none" w:sz="0" w:space="0" w:color="auto"/>
      </w:divBdr>
    </w:div>
    <w:div w:id="1585257958">
      <w:bodyDiv w:val="1"/>
      <w:marLeft w:val="0"/>
      <w:marRight w:val="0"/>
      <w:marTop w:val="0"/>
      <w:marBottom w:val="0"/>
      <w:divBdr>
        <w:top w:val="none" w:sz="0" w:space="0" w:color="auto"/>
        <w:left w:val="none" w:sz="0" w:space="0" w:color="auto"/>
        <w:bottom w:val="none" w:sz="0" w:space="0" w:color="auto"/>
        <w:right w:val="none" w:sz="0" w:space="0" w:color="auto"/>
      </w:divBdr>
    </w:div>
    <w:div w:id="1622229682">
      <w:bodyDiv w:val="1"/>
      <w:marLeft w:val="0"/>
      <w:marRight w:val="0"/>
      <w:marTop w:val="0"/>
      <w:marBottom w:val="0"/>
      <w:divBdr>
        <w:top w:val="none" w:sz="0" w:space="0" w:color="auto"/>
        <w:left w:val="none" w:sz="0" w:space="0" w:color="auto"/>
        <w:bottom w:val="none" w:sz="0" w:space="0" w:color="auto"/>
        <w:right w:val="none" w:sz="0" w:space="0" w:color="auto"/>
      </w:divBdr>
    </w:div>
    <w:div w:id="1624311333">
      <w:bodyDiv w:val="1"/>
      <w:marLeft w:val="0"/>
      <w:marRight w:val="0"/>
      <w:marTop w:val="0"/>
      <w:marBottom w:val="0"/>
      <w:divBdr>
        <w:top w:val="none" w:sz="0" w:space="0" w:color="auto"/>
        <w:left w:val="none" w:sz="0" w:space="0" w:color="auto"/>
        <w:bottom w:val="none" w:sz="0" w:space="0" w:color="auto"/>
        <w:right w:val="none" w:sz="0" w:space="0" w:color="auto"/>
      </w:divBdr>
    </w:div>
    <w:div w:id="1633049661">
      <w:bodyDiv w:val="1"/>
      <w:marLeft w:val="0"/>
      <w:marRight w:val="0"/>
      <w:marTop w:val="0"/>
      <w:marBottom w:val="0"/>
      <w:divBdr>
        <w:top w:val="none" w:sz="0" w:space="0" w:color="auto"/>
        <w:left w:val="none" w:sz="0" w:space="0" w:color="auto"/>
        <w:bottom w:val="none" w:sz="0" w:space="0" w:color="auto"/>
        <w:right w:val="none" w:sz="0" w:space="0" w:color="auto"/>
      </w:divBdr>
    </w:div>
    <w:div w:id="1671716426">
      <w:bodyDiv w:val="1"/>
      <w:marLeft w:val="0"/>
      <w:marRight w:val="0"/>
      <w:marTop w:val="0"/>
      <w:marBottom w:val="0"/>
      <w:divBdr>
        <w:top w:val="none" w:sz="0" w:space="0" w:color="auto"/>
        <w:left w:val="none" w:sz="0" w:space="0" w:color="auto"/>
        <w:bottom w:val="none" w:sz="0" w:space="0" w:color="auto"/>
        <w:right w:val="none" w:sz="0" w:space="0" w:color="auto"/>
      </w:divBdr>
    </w:div>
    <w:div w:id="1696879779">
      <w:bodyDiv w:val="1"/>
      <w:marLeft w:val="0"/>
      <w:marRight w:val="0"/>
      <w:marTop w:val="0"/>
      <w:marBottom w:val="0"/>
      <w:divBdr>
        <w:top w:val="none" w:sz="0" w:space="0" w:color="auto"/>
        <w:left w:val="none" w:sz="0" w:space="0" w:color="auto"/>
        <w:bottom w:val="none" w:sz="0" w:space="0" w:color="auto"/>
        <w:right w:val="none" w:sz="0" w:space="0" w:color="auto"/>
      </w:divBdr>
    </w:div>
    <w:div w:id="1702048851">
      <w:bodyDiv w:val="1"/>
      <w:marLeft w:val="0"/>
      <w:marRight w:val="0"/>
      <w:marTop w:val="0"/>
      <w:marBottom w:val="0"/>
      <w:divBdr>
        <w:top w:val="none" w:sz="0" w:space="0" w:color="auto"/>
        <w:left w:val="none" w:sz="0" w:space="0" w:color="auto"/>
        <w:bottom w:val="none" w:sz="0" w:space="0" w:color="auto"/>
        <w:right w:val="none" w:sz="0" w:space="0" w:color="auto"/>
      </w:divBdr>
    </w:div>
    <w:div w:id="1743796517">
      <w:bodyDiv w:val="1"/>
      <w:marLeft w:val="0"/>
      <w:marRight w:val="0"/>
      <w:marTop w:val="0"/>
      <w:marBottom w:val="0"/>
      <w:divBdr>
        <w:top w:val="none" w:sz="0" w:space="0" w:color="auto"/>
        <w:left w:val="none" w:sz="0" w:space="0" w:color="auto"/>
        <w:bottom w:val="none" w:sz="0" w:space="0" w:color="auto"/>
        <w:right w:val="none" w:sz="0" w:space="0" w:color="auto"/>
      </w:divBdr>
    </w:div>
    <w:div w:id="1776246564">
      <w:bodyDiv w:val="1"/>
      <w:marLeft w:val="0"/>
      <w:marRight w:val="0"/>
      <w:marTop w:val="0"/>
      <w:marBottom w:val="0"/>
      <w:divBdr>
        <w:top w:val="none" w:sz="0" w:space="0" w:color="auto"/>
        <w:left w:val="none" w:sz="0" w:space="0" w:color="auto"/>
        <w:bottom w:val="none" w:sz="0" w:space="0" w:color="auto"/>
        <w:right w:val="none" w:sz="0" w:space="0" w:color="auto"/>
      </w:divBdr>
    </w:div>
    <w:div w:id="1798837024">
      <w:bodyDiv w:val="1"/>
      <w:marLeft w:val="0"/>
      <w:marRight w:val="0"/>
      <w:marTop w:val="0"/>
      <w:marBottom w:val="0"/>
      <w:divBdr>
        <w:top w:val="none" w:sz="0" w:space="0" w:color="auto"/>
        <w:left w:val="none" w:sz="0" w:space="0" w:color="auto"/>
        <w:bottom w:val="none" w:sz="0" w:space="0" w:color="auto"/>
        <w:right w:val="none" w:sz="0" w:space="0" w:color="auto"/>
      </w:divBdr>
    </w:div>
    <w:div w:id="1809980252">
      <w:bodyDiv w:val="1"/>
      <w:marLeft w:val="0"/>
      <w:marRight w:val="0"/>
      <w:marTop w:val="0"/>
      <w:marBottom w:val="0"/>
      <w:divBdr>
        <w:top w:val="none" w:sz="0" w:space="0" w:color="auto"/>
        <w:left w:val="none" w:sz="0" w:space="0" w:color="auto"/>
        <w:bottom w:val="none" w:sz="0" w:space="0" w:color="auto"/>
        <w:right w:val="none" w:sz="0" w:space="0" w:color="auto"/>
      </w:divBdr>
    </w:div>
    <w:div w:id="1828521652">
      <w:bodyDiv w:val="1"/>
      <w:marLeft w:val="0"/>
      <w:marRight w:val="0"/>
      <w:marTop w:val="0"/>
      <w:marBottom w:val="0"/>
      <w:divBdr>
        <w:top w:val="none" w:sz="0" w:space="0" w:color="auto"/>
        <w:left w:val="none" w:sz="0" w:space="0" w:color="auto"/>
        <w:bottom w:val="none" w:sz="0" w:space="0" w:color="auto"/>
        <w:right w:val="none" w:sz="0" w:space="0" w:color="auto"/>
      </w:divBdr>
    </w:div>
    <w:div w:id="1866208727">
      <w:bodyDiv w:val="1"/>
      <w:marLeft w:val="0"/>
      <w:marRight w:val="0"/>
      <w:marTop w:val="0"/>
      <w:marBottom w:val="0"/>
      <w:divBdr>
        <w:top w:val="none" w:sz="0" w:space="0" w:color="auto"/>
        <w:left w:val="none" w:sz="0" w:space="0" w:color="auto"/>
        <w:bottom w:val="none" w:sz="0" w:space="0" w:color="auto"/>
        <w:right w:val="none" w:sz="0" w:space="0" w:color="auto"/>
      </w:divBdr>
    </w:div>
    <w:div w:id="1903368222">
      <w:bodyDiv w:val="1"/>
      <w:marLeft w:val="0"/>
      <w:marRight w:val="0"/>
      <w:marTop w:val="0"/>
      <w:marBottom w:val="0"/>
      <w:divBdr>
        <w:top w:val="none" w:sz="0" w:space="0" w:color="auto"/>
        <w:left w:val="none" w:sz="0" w:space="0" w:color="auto"/>
        <w:bottom w:val="none" w:sz="0" w:space="0" w:color="auto"/>
        <w:right w:val="none" w:sz="0" w:space="0" w:color="auto"/>
      </w:divBdr>
    </w:div>
    <w:div w:id="1949509619">
      <w:bodyDiv w:val="1"/>
      <w:marLeft w:val="0"/>
      <w:marRight w:val="0"/>
      <w:marTop w:val="0"/>
      <w:marBottom w:val="0"/>
      <w:divBdr>
        <w:top w:val="none" w:sz="0" w:space="0" w:color="auto"/>
        <w:left w:val="none" w:sz="0" w:space="0" w:color="auto"/>
        <w:bottom w:val="none" w:sz="0" w:space="0" w:color="auto"/>
        <w:right w:val="none" w:sz="0" w:space="0" w:color="auto"/>
      </w:divBdr>
    </w:div>
    <w:div w:id="1958829289">
      <w:bodyDiv w:val="1"/>
      <w:marLeft w:val="0"/>
      <w:marRight w:val="0"/>
      <w:marTop w:val="0"/>
      <w:marBottom w:val="0"/>
      <w:divBdr>
        <w:top w:val="none" w:sz="0" w:space="0" w:color="auto"/>
        <w:left w:val="none" w:sz="0" w:space="0" w:color="auto"/>
        <w:bottom w:val="none" w:sz="0" w:space="0" w:color="auto"/>
        <w:right w:val="none" w:sz="0" w:space="0" w:color="auto"/>
      </w:divBdr>
    </w:div>
    <w:div w:id="1970696875">
      <w:bodyDiv w:val="1"/>
      <w:marLeft w:val="0"/>
      <w:marRight w:val="0"/>
      <w:marTop w:val="0"/>
      <w:marBottom w:val="0"/>
      <w:divBdr>
        <w:top w:val="none" w:sz="0" w:space="0" w:color="auto"/>
        <w:left w:val="none" w:sz="0" w:space="0" w:color="auto"/>
        <w:bottom w:val="none" w:sz="0" w:space="0" w:color="auto"/>
        <w:right w:val="none" w:sz="0" w:space="0" w:color="auto"/>
      </w:divBdr>
    </w:div>
    <w:div w:id="2035842823">
      <w:bodyDiv w:val="1"/>
      <w:marLeft w:val="0"/>
      <w:marRight w:val="0"/>
      <w:marTop w:val="0"/>
      <w:marBottom w:val="0"/>
      <w:divBdr>
        <w:top w:val="none" w:sz="0" w:space="0" w:color="auto"/>
        <w:left w:val="none" w:sz="0" w:space="0" w:color="auto"/>
        <w:bottom w:val="none" w:sz="0" w:space="0" w:color="auto"/>
        <w:right w:val="none" w:sz="0" w:space="0" w:color="auto"/>
      </w:divBdr>
    </w:div>
    <w:div w:id="2081173477">
      <w:bodyDiv w:val="1"/>
      <w:marLeft w:val="0"/>
      <w:marRight w:val="0"/>
      <w:marTop w:val="0"/>
      <w:marBottom w:val="0"/>
      <w:divBdr>
        <w:top w:val="none" w:sz="0" w:space="0" w:color="auto"/>
        <w:left w:val="none" w:sz="0" w:space="0" w:color="auto"/>
        <w:bottom w:val="none" w:sz="0" w:space="0" w:color="auto"/>
        <w:right w:val="none" w:sz="0" w:space="0" w:color="auto"/>
      </w:divBdr>
    </w:div>
    <w:div w:id="21248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Your-Council/Official-Publications--Guides--Policies/Transparency-and-open-data.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FFE1-7567-4DDF-B9F1-004F849E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3211</Words>
  <Characters>16356</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PAY POLICY STATEMENT FOR HERTSMERE BOROUGH COUNCIL 2012/13</vt:lpstr>
    </vt:vector>
  </TitlesOfParts>
  <Company>Hertsmere Borough Council</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Statement 2024 2025</dc:title>
  <dc:creator>Judith Fear</dc:creator>
  <cp:lastModifiedBy>Chloe Aitchison</cp:lastModifiedBy>
  <cp:revision>3</cp:revision>
  <cp:lastPrinted>2019-02-15T11:11:00Z</cp:lastPrinted>
  <dcterms:created xsi:type="dcterms:W3CDTF">2024-03-01T09:52:00Z</dcterms:created>
  <dcterms:modified xsi:type="dcterms:W3CDTF">2024-03-01T15:46:54Z</dcterms:modified>
  <cp:keywords>
  </cp:keywords>
  <dc:subject>Pay Policy Statement for 2024 25</dc:subject>
</cp:coreProperties>
</file>